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1EEB1" w14:textId="77777777" w:rsidR="00830024" w:rsidRPr="00830024" w:rsidRDefault="00830024" w:rsidP="00830024">
      <w:pPr>
        <w:pStyle w:val="Nadpis1"/>
        <w:jc w:val="center"/>
        <w:rPr>
          <w:caps/>
        </w:rPr>
      </w:pPr>
      <w:bookmarkStart w:id="0" w:name="_Toc170269966"/>
      <w:r w:rsidRPr="00830024">
        <w:rPr>
          <w:caps/>
        </w:rPr>
        <w:t>Odhad zdravotních rizik ze znečištění ovzduší</w:t>
      </w:r>
      <w:bookmarkEnd w:id="0"/>
      <w:r w:rsidRPr="00830024">
        <w:rPr>
          <w:caps/>
        </w:rPr>
        <w:t xml:space="preserve"> </w:t>
      </w:r>
    </w:p>
    <w:p w14:paraId="1CBF0187" w14:textId="77777777" w:rsidR="00830024" w:rsidRPr="00830024" w:rsidRDefault="00830024" w:rsidP="00830024">
      <w:pPr>
        <w:pStyle w:val="Nadpis1"/>
        <w:spacing w:before="0"/>
        <w:jc w:val="center"/>
        <w:rPr>
          <w:caps/>
        </w:rPr>
      </w:pPr>
      <w:r w:rsidRPr="00830024">
        <w:rPr>
          <w:caps/>
        </w:rPr>
        <w:t>Česká republika - rok 2022</w:t>
      </w:r>
    </w:p>
    <w:p w14:paraId="66AA4A05" w14:textId="77777777" w:rsidR="00830024" w:rsidRPr="007C6CB6" w:rsidRDefault="00830024" w:rsidP="00830024">
      <w:pPr>
        <w:rPr>
          <w:rFonts w:ascii="Times New Roman" w:hAnsi="Times New Roman"/>
        </w:rPr>
      </w:pPr>
    </w:p>
    <w:p w14:paraId="2DE68194" w14:textId="77777777" w:rsidR="00830024" w:rsidRPr="00830024" w:rsidRDefault="00830024" w:rsidP="00830024">
      <w:pPr>
        <w:pStyle w:val="Nadpis2"/>
        <w:keepLines w:val="0"/>
        <w:numPr>
          <w:ilvl w:val="0"/>
          <w:numId w:val="13"/>
        </w:numPr>
        <w:autoSpaceDE/>
        <w:autoSpaceDN/>
        <w:adjustRightInd/>
        <w:spacing w:before="0" w:line="240" w:lineRule="auto"/>
        <w:textAlignment w:val="auto"/>
        <w:rPr>
          <w:sz w:val="28"/>
          <w:szCs w:val="28"/>
        </w:rPr>
      </w:pPr>
      <w:r w:rsidRPr="00830024">
        <w:rPr>
          <w:sz w:val="28"/>
          <w:szCs w:val="28"/>
        </w:rPr>
        <w:t>Úvod</w:t>
      </w:r>
    </w:p>
    <w:p w14:paraId="1B295925" w14:textId="71954080" w:rsidR="00830024" w:rsidRPr="00830024" w:rsidRDefault="00830024" w:rsidP="00830024">
      <w:pPr>
        <w:spacing w:before="120" w:line="276" w:lineRule="auto"/>
        <w:jc w:val="both"/>
        <w:rPr>
          <w:sz w:val="22"/>
          <w:szCs w:val="22"/>
        </w:rPr>
      </w:pPr>
      <w:r w:rsidRPr="00830024">
        <w:rPr>
          <w:sz w:val="22"/>
          <w:szCs w:val="22"/>
        </w:rPr>
        <w:t>Při posuzování kvality venkovního ovzduší se v obecné rovině postupuje dvěma způsoby. Základem je srovnání s legislativně stanovenými imisními limity – na principu řízení kvality ovzduší. Výstupem je informace o překročení (formát ANO/NE) či frekvenci překračování imisních limitů na konkrétních měřicích stanicích a aproximace procentuálních odhadů zatížené plochy aglomerací či odhad počtu nadlimitně exponovaných obyvatel. Tyto výstupy jsou publikovány v ročenkách ČHMÚ v tabelární i grafické formě za jednotlivé roky a představují mimo jiné nutné výstupy pro podávání zpráv EU. Zároveň jsou jedním z podkladů pro detailnější hodnocení ve vztahu ke kvantifikaci zdravotních rizik. D</w:t>
      </w:r>
      <w:r w:rsidR="00C655C1">
        <w:rPr>
          <w:sz w:val="22"/>
          <w:szCs w:val="22"/>
        </w:rPr>
        <w:t>ruhým d</w:t>
      </w:r>
      <w:r w:rsidRPr="00830024">
        <w:rPr>
          <w:sz w:val="22"/>
          <w:szCs w:val="22"/>
        </w:rPr>
        <w:t xml:space="preserve">oplňujícím kritériem pak jsou aktuálně platné Globální pokyny WHO (září 2021) pro kvalitu ovzduší v Evropě (AQG = Air </w:t>
      </w:r>
      <w:proofErr w:type="spellStart"/>
      <w:r w:rsidRPr="00830024">
        <w:rPr>
          <w:sz w:val="22"/>
          <w:szCs w:val="22"/>
        </w:rPr>
        <w:t>Quality</w:t>
      </w:r>
      <w:proofErr w:type="spellEnd"/>
      <w:r w:rsidRPr="00830024">
        <w:rPr>
          <w:sz w:val="22"/>
          <w:szCs w:val="22"/>
        </w:rPr>
        <w:t xml:space="preserve"> </w:t>
      </w:r>
      <w:proofErr w:type="spellStart"/>
      <w:r w:rsidRPr="00830024">
        <w:rPr>
          <w:sz w:val="22"/>
          <w:szCs w:val="22"/>
        </w:rPr>
        <w:t>Guidelines</w:t>
      </w:r>
      <w:proofErr w:type="spellEnd"/>
      <w:r w:rsidRPr="00830024">
        <w:rPr>
          <w:sz w:val="22"/>
          <w:szCs w:val="22"/>
        </w:rPr>
        <w:t>). Data za rok 2022 byla hodnocena a interpretována</w:t>
      </w:r>
      <w:r w:rsidR="00202685">
        <w:rPr>
          <w:sz w:val="22"/>
          <w:szCs w:val="22"/>
        </w:rPr>
        <w:t xml:space="preserve"> i</w:t>
      </w:r>
      <w:r w:rsidRPr="00830024">
        <w:rPr>
          <w:sz w:val="22"/>
          <w:szCs w:val="22"/>
        </w:rPr>
        <w:t xml:space="preserve"> z tohoto úhlu pohledu.</w:t>
      </w:r>
    </w:p>
    <w:p w14:paraId="1C4DA5E7" w14:textId="29CBD79F" w:rsidR="00830024" w:rsidRPr="00830024" w:rsidRDefault="00830024" w:rsidP="00154714">
      <w:pPr>
        <w:spacing w:before="120" w:line="276" w:lineRule="auto"/>
        <w:rPr>
          <w:sz w:val="22"/>
          <w:szCs w:val="22"/>
        </w:rPr>
      </w:pPr>
      <w:bookmarkStart w:id="1" w:name="_Toc114476140"/>
      <w:r w:rsidRPr="00830024">
        <w:rPr>
          <w:sz w:val="22"/>
          <w:szCs w:val="22"/>
        </w:rPr>
        <w:t xml:space="preserve">Tabulka č. </w:t>
      </w:r>
      <w:r w:rsidRPr="00830024">
        <w:rPr>
          <w:sz w:val="22"/>
          <w:szCs w:val="22"/>
        </w:rPr>
        <w:fldChar w:fldCharType="begin"/>
      </w:r>
      <w:r w:rsidRPr="00830024">
        <w:rPr>
          <w:sz w:val="22"/>
          <w:szCs w:val="22"/>
        </w:rPr>
        <w:instrText xml:space="preserve"> SEQ Tabulka_č._ \* ARABIC </w:instrText>
      </w:r>
      <w:r w:rsidRPr="00830024">
        <w:rPr>
          <w:sz w:val="22"/>
          <w:szCs w:val="22"/>
        </w:rPr>
        <w:fldChar w:fldCharType="separate"/>
      </w:r>
      <w:r w:rsidR="00D30EF9">
        <w:rPr>
          <w:noProof/>
          <w:sz w:val="22"/>
          <w:szCs w:val="22"/>
        </w:rPr>
        <w:t>1</w:t>
      </w:r>
      <w:r w:rsidRPr="00830024">
        <w:rPr>
          <w:sz w:val="22"/>
          <w:szCs w:val="22"/>
        </w:rPr>
        <w:fldChar w:fldCharType="end"/>
      </w:r>
      <w:r w:rsidRPr="00830024">
        <w:rPr>
          <w:sz w:val="22"/>
          <w:szCs w:val="22"/>
        </w:rPr>
        <w:t>. - Doporučené hladiny AQG WHO a prozatímní cíle (září 2021)</w:t>
      </w:r>
      <w:bookmarkEnd w:id="1"/>
    </w:p>
    <w:tbl>
      <w:tblPr>
        <w:tblStyle w:val="Mkatabulky"/>
        <w:tblW w:w="0" w:type="auto"/>
        <w:jc w:val="center"/>
        <w:tblLayout w:type="fixed"/>
        <w:tblLook w:val="04A0" w:firstRow="1" w:lastRow="0" w:firstColumn="1" w:lastColumn="0" w:noHBand="0" w:noVBand="1"/>
      </w:tblPr>
      <w:tblGrid>
        <w:gridCol w:w="2040"/>
        <w:gridCol w:w="1770"/>
        <w:gridCol w:w="851"/>
        <w:gridCol w:w="850"/>
        <w:gridCol w:w="851"/>
        <w:gridCol w:w="850"/>
        <w:gridCol w:w="1134"/>
      </w:tblGrid>
      <w:tr w:rsidR="00830024" w:rsidRPr="00AB7430" w14:paraId="1E67331D" w14:textId="77777777" w:rsidTr="00830024">
        <w:trPr>
          <w:jc w:val="center"/>
        </w:trPr>
        <w:tc>
          <w:tcPr>
            <w:tcW w:w="2040" w:type="dxa"/>
            <w:vMerge w:val="restart"/>
            <w:shd w:val="clear" w:color="auto" w:fill="B4C6E7" w:themeFill="accent1" w:themeFillTint="66"/>
            <w:vAlign w:val="center"/>
          </w:tcPr>
          <w:p w14:paraId="69E25101" w14:textId="77777777" w:rsidR="00830024" w:rsidRPr="00830024" w:rsidRDefault="00830024" w:rsidP="00830024">
            <w:r w:rsidRPr="00830024">
              <w:t>Znečišťující látka</w:t>
            </w:r>
          </w:p>
        </w:tc>
        <w:tc>
          <w:tcPr>
            <w:tcW w:w="1770" w:type="dxa"/>
            <w:vMerge w:val="restart"/>
            <w:shd w:val="clear" w:color="auto" w:fill="B4C6E7" w:themeFill="accent1" w:themeFillTint="66"/>
            <w:vAlign w:val="center"/>
          </w:tcPr>
          <w:p w14:paraId="2A4A7525" w14:textId="77777777" w:rsidR="00830024" w:rsidRPr="00830024" w:rsidRDefault="00830024" w:rsidP="00830024">
            <w:r w:rsidRPr="00830024">
              <w:t>Doba průměrování</w:t>
            </w:r>
          </w:p>
        </w:tc>
        <w:tc>
          <w:tcPr>
            <w:tcW w:w="3402" w:type="dxa"/>
            <w:gridSpan w:val="4"/>
            <w:shd w:val="clear" w:color="auto" w:fill="B4C6E7" w:themeFill="accent1" w:themeFillTint="66"/>
            <w:vAlign w:val="center"/>
          </w:tcPr>
          <w:p w14:paraId="057CE7DC" w14:textId="05D85E86" w:rsidR="00830024" w:rsidRPr="00830024" w:rsidRDefault="00830024" w:rsidP="0001428D">
            <w:pPr>
              <w:jc w:val="center"/>
            </w:pPr>
            <w:r w:rsidRPr="00830024">
              <w:t>Prozat</w:t>
            </w:r>
            <w:r w:rsidR="0001428D">
              <w:t>í</w:t>
            </w:r>
            <w:r w:rsidRPr="00830024">
              <w:t>mní cíl</w:t>
            </w:r>
          </w:p>
        </w:tc>
        <w:tc>
          <w:tcPr>
            <w:tcW w:w="1134" w:type="dxa"/>
            <w:vMerge w:val="restart"/>
            <w:shd w:val="clear" w:color="auto" w:fill="B4C6E7" w:themeFill="accent1" w:themeFillTint="66"/>
            <w:vAlign w:val="center"/>
          </w:tcPr>
          <w:p w14:paraId="23D7871D" w14:textId="77777777" w:rsidR="00830024" w:rsidRPr="00830024" w:rsidRDefault="00830024" w:rsidP="00830024">
            <w:pPr>
              <w:jc w:val="center"/>
            </w:pPr>
            <w:r w:rsidRPr="00830024">
              <w:t>Hladina AQG</w:t>
            </w:r>
          </w:p>
        </w:tc>
      </w:tr>
      <w:tr w:rsidR="00830024" w:rsidRPr="00AB7430" w14:paraId="156A6380" w14:textId="77777777" w:rsidTr="00830024">
        <w:trPr>
          <w:jc w:val="center"/>
        </w:trPr>
        <w:tc>
          <w:tcPr>
            <w:tcW w:w="2040" w:type="dxa"/>
            <w:vMerge/>
            <w:shd w:val="clear" w:color="auto" w:fill="B4C6E7" w:themeFill="accent1" w:themeFillTint="66"/>
            <w:vAlign w:val="center"/>
          </w:tcPr>
          <w:p w14:paraId="78208F43" w14:textId="77777777" w:rsidR="00830024" w:rsidRPr="00830024" w:rsidRDefault="00830024" w:rsidP="00830024"/>
        </w:tc>
        <w:tc>
          <w:tcPr>
            <w:tcW w:w="1770" w:type="dxa"/>
            <w:vMerge/>
            <w:shd w:val="clear" w:color="auto" w:fill="B4C6E7" w:themeFill="accent1" w:themeFillTint="66"/>
            <w:vAlign w:val="center"/>
          </w:tcPr>
          <w:p w14:paraId="1424F23B" w14:textId="77777777" w:rsidR="00830024" w:rsidRPr="00830024" w:rsidRDefault="00830024" w:rsidP="00830024"/>
        </w:tc>
        <w:tc>
          <w:tcPr>
            <w:tcW w:w="851" w:type="dxa"/>
            <w:shd w:val="clear" w:color="auto" w:fill="B4C6E7" w:themeFill="accent1" w:themeFillTint="66"/>
            <w:vAlign w:val="center"/>
          </w:tcPr>
          <w:p w14:paraId="686D82B2" w14:textId="77777777" w:rsidR="00830024" w:rsidRPr="00830024" w:rsidRDefault="00830024" w:rsidP="00830024">
            <w:pPr>
              <w:jc w:val="center"/>
            </w:pPr>
            <w:r w:rsidRPr="00830024">
              <w:t>1</w:t>
            </w:r>
          </w:p>
        </w:tc>
        <w:tc>
          <w:tcPr>
            <w:tcW w:w="850" w:type="dxa"/>
            <w:shd w:val="clear" w:color="auto" w:fill="B4C6E7" w:themeFill="accent1" w:themeFillTint="66"/>
            <w:vAlign w:val="center"/>
          </w:tcPr>
          <w:p w14:paraId="4C3BC885" w14:textId="77777777" w:rsidR="00830024" w:rsidRPr="00830024" w:rsidRDefault="00830024" w:rsidP="00830024">
            <w:pPr>
              <w:jc w:val="center"/>
            </w:pPr>
            <w:r w:rsidRPr="00830024">
              <w:t>2</w:t>
            </w:r>
          </w:p>
        </w:tc>
        <w:tc>
          <w:tcPr>
            <w:tcW w:w="851" w:type="dxa"/>
            <w:shd w:val="clear" w:color="auto" w:fill="B4C6E7" w:themeFill="accent1" w:themeFillTint="66"/>
            <w:vAlign w:val="center"/>
          </w:tcPr>
          <w:p w14:paraId="2C8878B3" w14:textId="77777777" w:rsidR="00830024" w:rsidRPr="00830024" w:rsidRDefault="00830024" w:rsidP="00830024">
            <w:pPr>
              <w:jc w:val="center"/>
            </w:pPr>
            <w:r w:rsidRPr="00830024">
              <w:t>3</w:t>
            </w:r>
          </w:p>
        </w:tc>
        <w:tc>
          <w:tcPr>
            <w:tcW w:w="850" w:type="dxa"/>
            <w:shd w:val="clear" w:color="auto" w:fill="B4C6E7" w:themeFill="accent1" w:themeFillTint="66"/>
            <w:vAlign w:val="center"/>
          </w:tcPr>
          <w:p w14:paraId="0A8B3177" w14:textId="77777777" w:rsidR="00830024" w:rsidRPr="00830024" w:rsidRDefault="00830024" w:rsidP="00830024">
            <w:pPr>
              <w:jc w:val="center"/>
            </w:pPr>
            <w:r w:rsidRPr="00830024">
              <w:t>4</w:t>
            </w:r>
          </w:p>
        </w:tc>
        <w:tc>
          <w:tcPr>
            <w:tcW w:w="1134" w:type="dxa"/>
            <w:vMerge/>
            <w:shd w:val="clear" w:color="auto" w:fill="B4C6E7" w:themeFill="accent1" w:themeFillTint="66"/>
            <w:vAlign w:val="center"/>
          </w:tcPr>
          <w:p w14:paraId="18F54BD2" w14:textId="77777777" w:rsidR="00830024" w:rsidRPr="00830024" w:rsidRDefault="00830024" w:rsidP="00830024"/>
        </w:tc>
      </w:tr>
      <w:tr w:rsidR="00830024" w:rsidRPr="00AB7430" w14:paraId="099C5C45" w14:textId="77777777" w:rsidTr="00154714">
        <w:trPr>
          <w:trHeight w:hRule="exact" w:val="284"/>
          <w:jc w:val="center"/>
        </w:trPr>
        <w:tc>
          <w:tcPr>
            <w:tcW w:w="2040" w:type="dxa"/>
            <w:vMerge w:val="restart"/>
            <w:shd w:val="clear" w:color="auto" w:fill="B4C6E7" w:themeFill="accent1" w:themeFillTint="66"/>
            <w:vAlign w:val="center"/>
          </w:tcPr>
          <w:p w14:paraId="2D77DF6C" w14:textId="77777777" w:rsidR="00830024" w:rsidRPr="00830024" w:rsidRDefault="00830024" w:rsidP="00830024">
            <w:r w:rsidRPr="00830024">
              <w:t>PM</w:t>
            </w:r>
            <w:r w:rsidRPr="00830024">
              <w:rPr>
                <w:vertAlign w:val="subscript"/>
              </w:rPr>
              <w:t>2,5</w:t>
            </w:r>
          </w:p>
          <w:p w14:paraId="6AC2F55E" w14:textId="77777777" w:rsidR="00830024" w:rsidRPr="00830024" w:rsidRDefault="00830024" w:rsidP="00830024">
            <w:pPr>
              <w:rPr>
                <w:lang w:val="en-US"/>
              </w:rPr>
            </w:pPr>
            <w:r w:rsidRPr="00830024">
              <w:rPr>
                <w:lang w:val="en-US"/>
              </w:rPr>
              <w:t>[µg/m</w:t>
            </w:r>
            <w:r w:rsidRPr="00830024">
              <w:rPr>
                <w:vertAlign w:val="superscript"/>
                <w:lang w:val="en-US"/>
              </w:rPr>
              <w:t>3</w:t>
            </w:r>
            <w:r w:rsidRPr="00830024">
              <w:rPr>
                <w:lang w:val="en-US"/>
              </w:rPr>
              <w:t>]</w:t>
            </w:r>
          </w:p>
        </w:tc>
        <w:tc>
          <w:tcPr>
            <w:tcW w:w="1770" w:type="dxa"/>
            <w:tcMar>
              <w:right w:w="170" w:type="dxa"/>
            </w:tcMar>
            <w:vAlign w:val="center"/>
          </w:tcPr>
          <w:p w14:paraId="544C0DC2" w14:textId="77777777" w:rsidR="00830024" w:rsidRPr="00830024" w:rsidRDefault="00830024" w:rsidP="00830024">
            <w:pPr>
              <w:jc w:val="right"/>
            </w:pPr>
            <w:r w:rsidRPr="00830024">
              <w:t>rok</w:t>
            </w:r>
          </w:p>
        </w:tc>
        <w:tc>
          <w:tcPr>
            <w:tcW w:w="851" w:type="dxa"/>
            <w:noWrap/>
            <w:tcMar>
              <w:right w:w="170" w:type="dxa"/>
            </w:tcMar>
            <w:vAlign w:val="center"/>
          </w:tcPr>
          <w:p w14:paraId="04B8B9ED" w14:textId="77777777" w:rsidR="00830024" w:rsidRPr="00830024" w:rsidRDefault="00830024" w:rsidP="00830024">
            <w:pPr>
              <w:jc w:val="right"/>
            </w:pPr>
            <w:r w:rsidRPr="00830024">
              <w:t>35</w:t>
            </w:r>
          </w:p>
        </w:tc>
        <w:tc>
          <w:tcPr>
            <w:tcW w:w="850" w:type="dxa"/>
            <w:noWrap/>
            <w:tcMar>
              <w:right w:w="170" w:type="dxa"/>
            </w:tcMar>
            <w:vAlign w:val="center"/>
          </w:tcPr>
          <w:p w14:paraId="3DC16289" w14:textId="77777777" w:rsidR="00830024" w:rsidRPr="00830024" w:rsidRDefault="00830024" w:rsidP="00830024">
            <w:pPr>
              <w:jc w:val="right"/>
            </w:pPr>
            <w:r w:rsidRPr="00830024">
              <w:t>25</w:t>
            </w:r>
          </w:p>
        </w:tc>
        <w:tc>
          <w:tcPr>
            <w:tcW w:w="851" w:type="dxa"/>
            <w:noWrap/>
            <w:tcMar>
              <w:right w:w="170" w:type="dxa"/>
            </w:tcMar>
            <w:vAlign w:val="center"/>
          </w:tcPr>
          <w:p w14:paraId="3EEDE667" w14:textId="77777777" w:rsidR="00830024" w:rsidRPr="00830024" w:rsidRDefault="00830024" w:rsidP="00830024">
            <w:pPr>
              <w:jc w:val="right"/>
            </w:pPr>
            <w:r w:rsidRPr="00830024">
              <w:t>15</w:t>
            </w:r>
          </w:p>
        </w:tc>
        <w:tc>
          <w:tcPr>
            <w:tcW w:w="850" w:type="dxa"/>
            <w:noWrap/>
            <w:tcMar>
              <w:right w:w="170" w:type="dxa"/>
            </w:tcMar>
            <w:vAlign w:val="center"/>
          </w:tcPr>
          <w:p w14:paraId="47ACE5F1" w14:textId="77777777" w:rsidR="00830024" w:rsidRPr="00830024" w:rsidRDefault="00830024" w:rsidP="00830024">
            <w:pPr>
              <w:jc w:val="right"/>
            </w:pPr>
            <w:r w:rsidRPr="00830024">
              <w:t>10</w:t>
            </w:r>
          </w:p>
        </w:tc>
        <w:tc>
          <w:tcPr>
            <w:tcW w:w="1134" w:type="dxa"/>
            <w:noWrap/>
            <w:tcMar>
              <w:right w:w="170" w:type="dxa"/>
            </w:tcMar>
            <w:vAlign w:val="center"/>
          </w:tcPr>
          <w:p w14:paraId="4EFE374D" w14:textId="77777777" w:rsidR="00830024" w:rsidRPr="00830024" w:rsidRDefault="00830024" w:rsidP="00830024">
            <w:pPr>
              <w:jc w:val="right"/>
              <w:rPr>
                <w:b/>
              </w:rPr>
            </w:pPr>
            <w:r w:rsidRPr="00830024">
              <w:rPr>
                <w:b/>
              </w:rPr>
              <w:t>5</w:t>
            </w:r>
          </w:p>
        </w:tc>
      </w:tr>
      <w:tr w:rsidR="00830024" w:rsidRPr="00AB7430" w14:paraId="609D0ED9" w14:textId="77777777" w:rsidTr="00154714">
        <w:trPr>
          <w:trHeight w:hRule="exact" w:val="284"/>
          <w:jc w:val="center"/>
        </w:trPr>
        <w:tc>
          <w:tcPr>
            <w:tcW w:w="2040" w:type="dxa"/>
            <w:vMerge/>
            <w:shd w:val="clear" w:color="auto" w:fill="B4C6E7" w:themeFill="accent1" w:themeFillTint="66"/>
            <w:vAlign w:val="center"/>
          </w:tcPr>
          <w:p w14:paraId="4E8C67A1" w14:textId="77777777" w:rsidR="00830024" w:rsidRPr="00830024" w:rsidRDefault="00830024" w:rsidP="00830024"/>
        </w:tc>
        <w:tc>
          <w:tcPr>
            <w:tcW w:w="1770" w:type="dxa"/>
            <w:tcMar>
              <w:right w:w="170" w:type="dxa"/>
            </w:tcMar>
            <w:vAlign w:val="center"/>
          </w:tcPr>
          <w:p w14:paraId="7B707DE7" w14:textId="77777777" w:rsidR="00830024" w:rsidRPr="00830024" w:rsidRDefault="00830024" w:rsidP="00830024">
            <w:pPr>
              <w:jc w:val="right"/>
            </w:pPr>
            <w:r w:rsidRPr="00830024">
              <w:t>24  hodin</w:t>
            </w:r>
            <w:r w:rsidRPr="00830024">
              <w:rPr>
                <w:vertAlign w:val="superscript"/>
              </w:rPr>
              <w:t>a</w:t>
            </w:r>
          </w:p>
        </w:tc>
        <w:tc>
          <w:tcPr>
            <w:tcW w:w="851" w:type="dxa"/>
            <w:noWrap/>
            <w:tcMar>
              <w:right w:w="170" w:type="dxa"/>
            </w:tcMar>
            <w:vAlign w:val="center"/>
          </w:tcPr>
          <w:p w14:paraId="259AEEC5" w14:textId="77777777" w:rsidR="00830024" w:rsidRPr="00830024" w:rsidRDefault="00830024" w:rsidP="00830024">
            <w:pPr>
              <w:jc w:val="right"/>
            </w:pPr>
            <w:r w:rsidRPr="00830024">
              <w:t>75</w:t>
            </w:r>
          </w:p>
        </w:tc>
        <w:tc>
          <w:tcPr>
            <w:tcW w:w="850" w:type="dxa"/>
            <w:noWrap/>
            <w:tcMar>
              <w:right w:w="170" w:type="dxa"/>
            </w:tcMar>
            <w:vAlign w:val="center"/>
          </w:tcPr>
          <w:p w14:paraId="43C6CC1D" w14:textId="77777777" w:rsidR="00830024" w:rsidRPr="00830024" w:rsidRDefault="00830024" w:rsidP="00830024">
            <w:pPr>
              <w:jc w:val="right"/>
            </w:pPr>
            <w:r w:rsidRPr="00830024">
              <w:t>50</w:t>
            </w:r>
          </w:p>
        </w:tc>
        <w:tc>
          <w:tcPr>
            <w:tcW w:w="851" w:type="dxa"/>
            <w:noWrap/>
            <w:tcMar>
              <w:right w:w="170" w:type="dxa"/>
            </w:tcMar>
            <w:vAlign w:val="center"/>
          </w:tcPr>
          <w:p w14:paraId="3C91587D" w14:textId="77777777" w:rsidR="00830024" w:rsidRPr="00830024" w:rsidRDefault="00830024" w:rsidP="00830024">
            <w:pPr>
              <w:jc w:val="right"/>
            </w:pPr>
            <w:r w:rsidRPr="00830024">
              <w:t>37,5</w:t>
            </w:r>
          </w:p>
        </w:tc>
        <w:tc>
          <w:tcPr>
            <w:tcW w:w="850" w:type="dxa"/>
            <w:noWrap/>
            <w:tcMar>
              <w:right w:w="170" w:type="dxa"/>
            </w:tcMar>
            <w:vAlign w:val="center"/>
          </w:tcPr>
          <w:p w14:paraId="2EFC9917" w14:textId="77777777" w:rsidR="00830024" w:rsidRPr="00830024" w:rsidRDefault="00830024" w:rsidP="00830024">
            <w:pPr>
              <w:jc w:val="right"/>
            </w:pPr>
            <w:r w:rsidRPr="00830024">
              <w:t>25</w:t>
            </w:r>
          </w:p>
        </w:tc>
        <w:tc>
          <w:tcPr>
            <w:tcW w:w="1134" w:type="dxa"/>
            <w:noWrap/>
            <w:tcMar>
              <w:right w:w="170" w:type="dxa"/>
            </w:tcMar>
            <w:vAlign w:val="center"/>
          </w:tcPr>
          <w:p w14:paraId="2B89CD7D" w14:textId="77777777" w:rsidR="00830024" w:rsidRPr="00830024" w:rsidRDefault="00830024" w:rsidP="00830024">
            <w:pPr>
              <w:jc w:val="right"/>
              <w:rPr>
                <w:b/>
              </w:rPr>
            </w:pPr>
            <w:r w:rsidRPr="00830024">
              <w:rPr>
                <w:b/>
              </w:rPr>
              <w:t>15</w:t>
            </w:r>
          </w:p>
        </w:tc>
      </w:tr>
      <w:tr w:rsidR="00830024" w:rsidRPr="00AB7430" w14:paraId="46E2ADCE" w14:textId="77777777" w:rsidTr="00154714">
        <w:trPr>
          <w:trHeight w:hRule="exact" w:val="284"/>
          <w:jc w:val="center"/>
        </w:trPr>
        <w:tc>
          <w:tcPr>
            <w:tcW w:w="2040" w:type="dxa"/>
            <w:vMerge w:val="restart"/>
            <w:shd w:val="clear" w:color="auto" w:fill="B4C6E7" w:themeFill="accent1" w:themeFillTint="66"/>
            <w:vAlign w:val="center"/>
          </w:tcPr>
          <w:p w14:paraId="044F7DE4" w14:textId="77777777" w:rsidR="00830024" w:rsidRPr="00830024" w:rsidRDefault="00830024" w:rsidP="00830024">
            <w:r w:rsidRPr="00830024">
              <w:t>PM</w:t>
            </w:r>
            <w:r w:rsidRPr="00830024">
              <w:rPr>
                <w:vertAlign w:val="subscript"/>
              </w:rPr>
              <w:t>10</w:t>
            </w:r>
          </w:p>
          <w:p w14:paraId="789D4C3F" w14:textId="77777777" w:rsidR="00830024" w:rsidRPr="00830024" w:rsidRDefault="00830024" w:rsidP="00830024">
            <w:r w:rsidRPr="00830024">
              <w:rPr>
                <w:lang w:val="en-US"/>
              </w:rPr>
              <w:t>[µg/m</w:t>
            </w:r>
            <w:r w:rsidRPr="00830024">
              <w:rPr>
                <w:vertAlign w:val="superscript"/>
                <w:lang w:val="en-US"/>
              </w:rPr>
              <w:t>3</w:t>
            </w:r>
            <w:r w:rsidRPr="00830024">
              <w:rPr>
                <w:lang w:val="en-US"/>
              </w:rPr>
              <w:t>]</w:t>
            </w:r>
          </w:p>
        </w:tc>
        <w:tc>
          <w:tcPr>
            <w:tcW w:w="1770" w:type="dxa"/>
            <w:tcMar>
              <w:right w:w="170" w:type="dxa"/>
            </w:tcMar>
            <w:vAlign w:val="center"/>
          </w:tcPr>
          <w:p w14:paraId="45830479" w14:textId="77777777" w:rsidR="00830024" w:rsidRPr="00830024" w:rsidRDefault="00830024" w:rsidP="00830024">
            <w:pPr>
              <w:jc w:val="right"/>
            </w:pPr>
            <w:r w:rsidRPr="00830024">
              <w:t>rok</w:t>
            </w:r>
          </w:p>
        </w:tc>
        <w:tc>
          <w:tcPr>
            <w:tcW w:w="851" w:type="dxa"/>
            <w:noWrap/>
            <w:tcMar>
              <w:right w:w="170" w:type="dxa"/>
            </w:tcMar>
            <w:vAlign w:val="center"/>
          </w:tcPr>
          <w:p w14:paraId="4E4F6BE6" w14:textId="77777777" w:rsidR="00830024" w:rsidRPr="00830024" w:rsidRDefault="00830024" w:rsidP="00830024">
            <w:pPr>
              <w:jc w:val="right"/>
            </w:pPr>
            <w:r w:rsidRPr="00830024">
              <w:t>70</w:t>
            </w:r>
          </w:p>
        </w:tc>
        <w:tc>
          <w:tcPr>
            <w:tcW w:w="850" w:type="dxa"/>
            <w:noWrap/>
            <w:tcMar>
              <w:right w:w="170" w:type="dxa"/>
            </w:tcMar>
            <w:vAlign w:val="center"/>
          </w:tcPr>
          <w:p w14:paraId="57EB3D81" w14:textId="77777777" w:rsidR="00830024" w:rsidRPr="00830024" w:rsidRDefault="00830024" w:rsidP="00830024">
            <w:pPr>
              <w:jc w:val="right"/>
            </w:pPr>
            <w:r w:rsidRPr="00830024">
              <w:t>50</w:t>
            </w:r>
          </w:p>
        </w:tc>
        <w:tc>
          <w:tcPr>
            <w:tcW w:w="851" w:type="dxa"/>
            <w:noWrap/>
            <w:tcMar>
              <w:right w:w="170" w:type="dxa"/>
            </w:tcMar>
            <w:vAlign w:val="center"/>
          </w:tcPr>
          <w:p w14:paraId="76A36DBA" w14:textId="77777777" w:rsidR="00830024" w:rsidRPr="00830024" w:rsidRDefault="00830024" w:rsidP="00830024">
            <w:pPr>
              <w:jc w:val="right"/>
            </w:pPr>
            <w:r w:rsidRPr="00830024">
              <w:t>30</w:t>
            </w:r>
          </w:p>
        </w:tc>
        <w:tc>
          <w:tcPr>
            <w:tcW w:w="850" w:type="dxa"/>
            <w:noWrap/>
            <w:tcMar>
              <w:right w:w="170" w:type="dxa"/>
            </w:tcMar>
            <w:vAlign w:val="center"/>
          </w:tcPr>
          <w:p w14:paraId="76B5800A" w14:textId="77777777" w:rsidR="00830024" w:rsidRPr="00830024" w:rsidRDefault="00830024" w:rsidP="00830024">
            <w:pPr>
              <w:jc w:val="right"/>
            </w:pPr>
            <w:r w:rsidRPr="00830024">
              <w:t>20</w:t>
            </w:r>
          </w:p>
        </w:tc>
        <w:tc>
          <w:tcPr>
            <w:tcW w:w="1134" w:type="dxa"/>
            <w:noWrap/>
            <w:tcMar>
              <w:right w:w="170" w:type="dxa"/>
            </w:tcMar>
            <w:vAlign w:val="center"/>
          </w:tcPr>
          <w:p w14:paraId="2BFDE90F" w14:textId="77777777" w:rsidR="00830024" w:rsidRPr="00830024" w:rsidRDefault="00830024" w:rsidP="00830024">
            <w:pPr>
              <w:jc w:val="right"/>
              <w:rPr>
                <w:b/>
              </w:rPr>
            </w:pPr>
            <w:r w:rsidRPr="00830024">
              <w:rPr>
                <w:b/>
              </w:rPr>
              <w:t>15</w:t>
            </w:r>
          </w:p>
        </w:tc>
      </w:tr>
      <w:tr w:rsidR="00830024" w:rsidRPr="00AB7430" w14:paraId="3C31908E" w14:textId="77777777" w:rsidTr="00154714">
        <w:trPr>
          <w:trHeight w:hRule="exact" w:val="284"/>
          <w:jc w:val="center"/>
        </w:trPr>
        <w:tc>
          <w:tcPr>
            <w:tcW w:w="2040" w:type="dxa"/>
            <w:vMerge/>
            <w:shd w:val="clear" w:color="auto" w:fill="B4C6E7" w:themeFill="accent1" w:themeFillTint="66"/>
            <w:vAlign w:val="center"/>
          </w:tcPr>
          <w:p w14:paraId="01328B03" w14:textId="77777777" w:rsidR="00830024" w:rsidRPr="00830024" w:rsidRDefault="00830024" w:rsidP="00830024"/>
        </w:tc>
        <w:tc>
          <w:tcPr>
            <w:tcW w:w="1770" w:type="dxa"/>
            <w:tcMar>
              <w:right w:w="170" w:type="dxa"/>
            </w:tcMar>
            <w:vAlign w:val="center"/>
          </w:tcPr>
          <w:p w14:paraId="0B0B9708" w14:textId="77777777" w:rsidR="00830024" w:rsidRPr="00830024" w:rsidRDefault="00830024" w:rsidP="00830024">
            <w:pPr>
              <w:jc w:val="right"/>
            </w:pPr>
            <w:r w:rsidRPr="00830024">
              <w:t xml:space="preserve">24 </w:t>
            </w:r>
            <w:proofErr w:type="spellStart"/>
            <w:r w:rsidRPr="00830024">
              <w:t>hodina</w:t>
            </w:r>
            <w:r w:rsidRPr="00830024">
              <w:rPr>
                <w:vertAlign w:val="superscript"/>
              </w:rPr>
              <w:t>a</w:t>
            </w:r>
            <w:proofErr w:type="spellEnd"/>
          </w:p>
        </w:tc>
        <w:tc>
          <w:tcPr>
            <w:tcW w:w="851" w:type="dxa"/>
            <w:noWrap/>
            <w:tcMar>
              <w:right w:w="170" w:type="dxa"/>
            </w:tcMar>
            <w:vAlign w:val="center"/>
          </w:tcPr>
          <w:p w14:paraId="56ADD670" w14:textId="77777777" w:rsidR="00830024" w:rsidRPr="00830024" w:rsidRDefault="00830024" w:rsidP="00830024">
            <w:pPr>
              <w:jc w:val="right"/>
            </w:pPr>
            <w:r w:rsidRPr="00830024">
              <w:t>150</w:t>
            </w:r>
          </w:p>
        </w:tc>
        <w:tc>
          <w:tcPr>
            <w:tcW w:w="850" w:type="dxa"/>
            <w:noWrap/>
            <w:tcMar>
              <w:right w:w="170" w:type="dxa"/>
            </w:tcMar>
            <w:vAlign w:val="center"/>
          </w:tcPr>
          <w:p w14:paraId="6608656F" w14:textId="77777777" w:rsidR="00830024" w:rsidRPr="00830024" w:rsidRDefault="00830024" w:rsidP="00830024">
            <w:pPr>
              <w:jc w:val="right"/>
            </w:pPr>
            <w:r w:rsidRPr="00830024">
              <w:t>100</w:t>
            </w:r>
          </w:p>
        </w:tc>
        <w:tc>
          <w:tcPr>
            <w:tcW w:w="851" w:type="dxa"/>
            <w:noWrap/>
            <w:tcMar>
              <w:right w:w="170" w:type="dxa"/>
            </w:tcMar>
            <w:vAlign w:val="center"/>
          </w:tcPr>
          <w:p w14:paraId="6B283447" w14:textId="77777777" w:rsidR="00830024" w:rsidRPr="00830024" w:rsidRDefault="00830024" w:rsidP="00830024">
            <w:pPr>
              <w:jc w:val="right"/>
            </w:pPr>
            <w:r w:rsidRPr="00830024">
              <w:t>75</w:t>
            </w:r>
          </w:p>
        </w:tc>
        <w:tc>
          <w:tcPr>
            <w:tcW w:w="850" w:type="dxa"/>
            <w:noWrap/>
            <w:tcMar>
              <w:right w:w="170" w:type="dxa"/>
            </w:tcMar>
            <w:vAlign w:val="center"/>
          </w:tcPr>
          <w:p w14:paraId="006A89A6" w14:textId="77777777" w:rsidR="00830024" w:rsidRPr="00830024" w:rsidRDefault="00830024" w:rsidP="00830024">
            <w:pPr>
              <w:jc w:val="right"/>
            </w:pPr>
            <w:r w:rsidRPr="00830024">
              <w:t>50</w:t>
            </w:r>
          </w:p>
        </w:tc>
        <w:tc>
          <w:tcPr>
            <w:tcW w:w="1134" w:type="dxa"/>
            <w:noWrap/>
            <w:tcMar>
              <w:right w:w="170" w:type="dxa"/>
            </w:tcMar>
            <w:vAlign w:val="center"/>
          </w:tcPr>
          <w:p w14:paraId="122F508B" w14:textId="77777777" w:rsidR="00830024" w:rsidRPr="00830024" w:rsidRDefault="00830024" w:rsidP="00830024">
            <w:pPr>
              <w:jc w:val="right"/>
              <w:rPr>
                <w:b/>
              </w:rPr>
            </w:pPr>
            <w:r w:rsidRPr="00830024">
              <w:rPr>
                <w:b/>
              </w:rPr>
              <w:t>45</w:t>
            </w:r>
          </w:p>
        </w:tc>
      </w:tr>
      <w:tr w:rsidR="00830024" w:rsidRPr="00AB7430" w14:paraId="1E8C3ED3" w14:textId="77777777" w:rsidTr="00154714">
        <w:trPr>
          <w:trHeight w:hRule="exact" w:val="284"/>
          <w:jc w:val="center"/>
        </w:trPr>
        <w:tc>
          <w:tcPr>
            <w:tcW w:w="2040" w:type="dxa"/>
            <w:vMerge w:val="restart"/>
            <w:shd w:val="clear" w:color="auto" w:fill="B4C6E7" w:themeFill="accent1" w:themeFillTint="66"/>
            <w:vAlign w:val="center"/>
          </w:tcPr>
          <w:p w14:paraId="5483756F" w14:textId="77777777" w:rsidR="00830024" w:rsidRPr="00830024" w:rsidRDefault="00830024" w:rsidP="00830024">
            <w:r w:rsidRPr="00830024">
              <w:t>O</w:t>
            </w:r>
            <w:r w:rsidRPr="00830024">
              <w:rPr>
                <w:vertAlign w:val="subscript"/>
              </w:rPr>
              <w:t>3</w:t>
            </w:r>
          </w:p>
          <w:p w14:paraId="523CFD63" w14:textId="77777777" w:rsidR="00830024" w:rsidRPr="00830024" w:rsidRDefault="00830024" w:rsidP="00830024">
            <w:r w:rsidRPr="00830024">
              <w:rPr>
                <w:lang w:val="en-US"/>
              </w:rPr>
              <w:t>[µg/m</w:t>
            </w:r>
            <w:r w:rsidRPr="00830024">
              <w:rPr>
                <w:vertAlign w:val="superscript"/>
                <w:lang w:val="en-US"/>
              </w:rPr>
              <w:t>3</w:t>
            </w:r>
            <w:r w:rsidRPr="00830024">
              <w:rPr>
                <w:lang w:val="en-US"/>
              </w:rPr>
              <w:t>]</w:t>
            </w:r>
          </w:p>
        </w:tc>
        <w:tc>
          <w:tcPr>
            <w:tcW w:w="1770" w:type="dxa"/>
            <w:tcMar>
              <w:right w:w="170" w:type="dxa"/>
            </w:tcMar>
            <w:vAlign w:val="center"/>
          </w:tcPr>
          <w:p w14:paraId="08D1A58C" w14:textId="77777777" w:rsidR="00830024" w:rsidRPr="00830024" w:rsidRDefault="00830024" w:rsidP="00830024">
            <w:pPr>
              <w:jc w:val="right"/>
            </w:pPr>
            <w:r w:rsidRPr="00830024">
              <w:t>hlavní sezón</w:t>
            </w:r>
            <w:r w:rsidRPr="00830024">
              <w:rPr>
                <w:vertAlign w:val="superscript"/>
              </w:rPr>
              <w:t>a</w:t>
            </w:r>
          </w:p>
        </w:tc>
        <w:tc>
          <w:tcPr>
            <w:tcW w:w="851" w:type="dxa"/>
            <w:noWrap/>
            <w:tcMar>
              <w:right w:w="170" w:type="dxa"/>
            </w:tcMar>
            <w:vAlign w:val="center"/>
          </w:tcPr>
          <w:p w14:paraId="6DC89285" w14:textId="77777777" w:rsidR="00830024" w:rsidRPr="00830024" w:rsidRDefault="00830024" w:rsidP="00830024">
            <w:pPr>
              <w:jc w:val="right"/>
            </w:pPr>
            <w:r w:rsidRPr="00830024">
              <w:t>100</w:t>
            </w:r>
          </w:p>
        </w:tc>
        <w:tc>
          <w:tcPr>
            <w:tcW w:w="850" w:type="dxa"/>
            <w:noWrap/>
            <w:tcMar>
              <w:right w:w="170" w:type="dxa"/>
            </w:tcMar>
            <w:vAlign w:val="center"/>
          </w:tcPr>
          <w:p w14:paraId="42A9EE07" w14:textId="77777777" w:rsidR="00830024" w:rsidRPr="00830024" w:rsidRDefault="00830024" w:rsidP="00830024">
            <w:pPr>
              <w:jc w:val="right"/>
            </w:pPr>
            <w:r w:rsidRPr="00830024">
              <w:t>70</w:t>
            </w:r>
          </w:p>
        </w:tc>
        <w:tc>
          <w:tcPr>
            <w:tcW w:w="851" w:type="dxa"/>
            <w:noWrap/>
            <w:tcMar>
              <w:right w:w="170" w:type="dxa"/>
            </w:tcMar>
            <w:vAlign w:val="center"/>
          </w:tcPr>
          <w:p w14:paraId="0C1D6A2C" w14:textId="77777777" w:rsidR="00830024" w:rsidRPr="00830024" w:rsidRDefault="00830024" w:rsidP="00830024">
            <w:pPr>
              <w:jc w:val="right"/>
            </w:pPr>
            <w:r w:rsidRPr="00830024">
              <w:t>-</w:t>
            </w:r>
          </w:p>
        </w:tc>
        <w:tc>
          <w:tcPr>
            <w:tcW w:w="850" w:type="dxa"/>
            <w:noWrap/>
            <w:tcMar>
              <w:right w:w="170" w:type="dxa"/>
            </w:tcMar>
            <w:vAlign w:val="center"/>
          </w:tcPr>
          <w:p w14:paraId="5F7ED57A" w14:textId="77777777" w:rsidR="00830024" w:rsidRPr="00830024" w:rsidRDefault="00830024" w:rsidP="00830024">
            <w:pPr>
              <w:jc w:val="right"/>
            </w:pPr>
            <w:r w:rsidRPr="00830024">
              <w:t>-</w:t>
            </w:r>
          </w:p>
        </w:tc>
        <w:tc>
          <w:tcPr>
            <w:tcW w:w="1134" w:type="dxa"/>
            <w:noWrap/>
            <w:tcMar>
              <w:right w:w="170" w:type="dxa"/>
            </w:tcMar>
            <w:vAlign w:val="center"/>
          </w:tcPr>
          <w:p w14:paraId="1FD08BB4" w14:textId="77777777" w:rsidR="00830024" w:rsidRPr="00830024" w:rsidRDefault="00830024" w:rsidP="00830024">
            <w:pPr>
              <w:jc w:val="right"/>
              <w:rPr>
                <w:b/>
              </w:rPr>
            </w:pPr>
            <w:r w:rsidRPr="00830024">
              <w:rPr>
                <w:b/>
              </w:rPr>
              <w:t>60</w:t>
            </w:r>
          </w:p>
        </w:tc>
      </w:tr>
      <w:tr w:rsidR="00830024" w:rsidRPr="00AB7430" w14:paraId="1F32C5E5" w14:textId="77777777" w:rsidTr="00154714">
        <w:trPr>
          <w:trHeight w:hRule="exact" w:val="284"/>
          <w:jc w:val="center"/>
        </w:trPr>
        <w:tc>
          <w:tcPr>
            <w:tcW w:w="2040" w:type="dxa"/>
            <w:vMerge/>
            <w:shd w:val="clear" w:color="auto" w:fill="B4C6E7" w:themeFill="accent1" w:themeFillTint="66"/>
            <w:vAlign w:val="center"/>
          </w:tcPr>
          <w:p w14:paraId="0552F49B" w14:textId="77777777" w:rsidR="00830024" w:rsidRPr="00830024" w:rsidRDefault="00830024" w:rsidP="00830024"/>
        </w:tc>
        <w:tc>
          <w:tcPr>
            <w:tcW w:w="1770" w:type="dxa"/>
            <w:tcMar>
              <w:right w:w="170" w:type="dxa"/>
            </w:tcMar>
            <w:vAlign w:val="center"/>
          </w:tcPr>
          <w:p w14:paraId="5A7E8A84" w14:textId="77777777" w:rsidR="00830024" w:rsidRPr="00830024" w:rsidRDefault="00830024" w:rsidP="00830024">
            <w:pPr>
              <w:jc w:val="right"/>
            </w:pPr>
            <w:r w:rsidRPr="00830024">
              <w:t xml:space="preserve">8 </w:t>
            </w:r>
            <w:proofErr w:type="spellStart"/>
            <w:r w:rsidRPr="00830024">
              <w:t>hodin</w:t>
            </w:r>
            <w:r w:rsidRPr="00830024">
              <w:rPr>
                <w:vertAlign w:val="superscript"/>
              </w:rPr>
              <w:t>b</w:t>
            </w:r>
            <w:proofErr w:type="spellEnd"/>
          </w:p>
        </w:tc>
        <w:tc>
          <w:tcPr>
            <w:tcW w:w="851" w:type="dxa"/>
            <w:noWrap/>
            <w:tcMar>
              <w:right w:w="170" w:type="dxa"/>
            </w:tcMar>
            <w:vAlign w:val="center"/>
          </w:tcPr>
          <w:p w14:paraId="4394CA3C" w14:textId="77777777" w:rsidR="00830024" w:rsidRPr="00830024" w:rsidRDefault="00830024" w:rsidP="00830024">
            <w:pPr>
              <w:jc w:val="right"/>
            </w:pPr>
            <w:r w:rsidRPr="00830024">
              <w:t>160</w:t>
            </w:r>
          </w:p>
        </w:tc>
        <w:tc>
          <w:tcPr>
            <w:tcW w:w="850" w:type="dxa"/>
            <w:noWrap/>
            <w:tcMar>
              <w:right w:w="170" w:type="dxa"/>
            </w:tcMar>
            <w:vAlign w:val="center"/>
          </w:tcPr>
          <w:p w14:paraId="3E1F494C" w14:textId="77777777" w:rsidR="00830024" w:rsidRPr="00830024" w:rsidRDefault="00830024" w:rsidP="00830024">
            <w:pPr>
              <w:jc w:val="right"/>
            </w:pPr>
            <w:r w:rsidRPr="00830024">
              <w:t>120</w:t>
            </w:r>
          </w:p>
        </w:tc>
        <w:tc>
          <w:tcPr>
            <w:tcW w:w="851" w:type="dxa"/>
            <w:noWrap/>
            <w:tcMar>
              <w:right w:w="170" w:type="dxa"/>
            </w:tcMar>
            <w:vAlign w:val="center"/>
          </w:tcPr>
          <w:p w14:paraId="514BB8DB" w14:textId="77777777" w:rsidR="00830024" w:rsidRPr="00830024" w:rsidRDefault="00830024" w:rsidP="00830024">
            <w:pPr>
              <w:jc w:val="right"/>
            </w:pPr>
            <w:r w:rsidRPr="00830024">
              <w:t>-</w:t>
            </w:r>
          </w:p>
        </w:tc>
        <w:tc>
          <w:tcPr>
            <w:tcW w:w="850" w:type="dxa"/>
            <w:noWrap/>
            <w:tcMar>
              <w:right w:w="170" w:type="dxa"/>
            </w:tcMar>
            <w:vAlign w:val="center"/>
          </w:tcPr>
          <w:p w14:paraId="60FF9800" w14:textId="77777777" w:rsidR="00830024" w:rsidRPr="00830024" w:rsidRDefault="00830024" w:rsidP="00830024">
            <w:pPr>
              <w:jc w:val="right"/>
            </w:pPr>
            <w:r w:rsidRPr="00830024">
              <w:t>-</w:t>
            </w:r>
          </w:p>
        </w:tc>
        <w:tc>
          <w:tcPr>
            <w:tcW w:w="1134" w:type="dxa"/>
            <w:noWrap/>
            <w:tcMar>
              <w:right w:w="170" w:type="dxa"/>
            </w:tcMar>
            <w:vAlign w:val="center"/>
          </w:tcPr>
          <w:p w14:paraId="48772E29" w14:textId="77777777" w:rsidR="00830024" w:rsidRPr="00830024" w:rsidRDefault="00830024" w:rsidP="00830024">
            <w:pPr>
              <w:jc w:val="right"/>
              <w:rPr>
                <w:b/>
              </w:rPr>
            </w:pPr>
            <w:r w:rsidRPr="00830024">
              <w:rPr>
                <w:b/>
              </w:rPr>
              <w:t>100</w:t>
            </w:r>
          </w:p>
        </w:tc>
      </w:tr>
      <w:tr w:rsidR="00830024" w:rsidRPr="00AB7430" w14:paraId="42E2DCFE" w14:textId="77777777" w:rsidTr="00154714">
        <w:trPr>
          <w:trHeight w:hRule="exact" w:val="284"/>
          <w:jc w:val="center"/>
        </w:trPr>
        <w:tc>
          <w:tcPr>
            <w:tcW w:w="2040" w:type="dxa"/>
            <w:vMerge w:val="restart"/>
            <w:shd w:val="clear" w:color="auto" w:fill="B4C6E7" w:themeFill="accent1" w:themeFillTint="66"/>
            <w:vAlign w:val="center"/>
          </w:tcPr>
          <w:p w14:paraId="79DEA45A" w14:textId="77777777" w:rsidR="00830024" w:rsidRPr="00830024" w:rsidRDefault="00830024" w:rsidP="00830024">
            <w:r w:rsidRPr="00830024">
              <w:t>NO</w:t>
            </w:r>
            <w:r w:rsidRPr="00830024">
              <w:rPr>
                <w:vertAlign w:val="subscript"/>
              </w:rPr>
              <w:t>2</w:t>
            </w:r>
          </w:p>
          <w:p w14:paraId="6D53F971" w14:textId="77777777" w:rsidR="00830024" w:rsidRPr="00830024" w:rsidRDefault="00830024" w:rsidP="00830024">
            <w:r w:rsidRPr="00830024">
              <w:rPr>
                <w:lang w:val="en-US"/>
              </w:rPr>
              <w:t>[µg/m</w:t>
            </w:r>
            <w:r w:rsidRPr="00830024">
              <w:rPr>
                <w:vertAlign w:val="superscript"/>
                <w:lang w:val="en-US"/>
              </w:rPr>
              <w:t>3</w:t>
            </w:r>
            <w:r w:rsidRPr="00830024">
              <w:rPr>
                <w:lang w:val="en-US"/>
              </w:rPr>
              <w:t>]</w:t>
            </w:r>
          </w:p>
        </w:tc>
        <w:tc>
          <w:tcPr>
            <w:tcW w:w="1770" w:type="dxa"/>
            <w:tcMar>
              <w:right w:w="170" w:type="dxa"/>
            </w:tcMar>
            <w:vAlign w:val="center"/>
          </w:tcPr>
          <w:p w14:paraId="499561DB" w14:textId="77777777" w:rsidR="00830024" w:rsidRPr="00830024" w:rsidRDefault="00830024" w:rsidP="00830024">
            <w:pPr>
              <w:jc w:val="right"/>
            </w:pPr>
            <w:r w:rsidRPr="00830024">
              <w:t>ročně</w:t>
            </w:r>
          </w:p>
        </w:tc>
        <w:tc>
          <w:tcPr>
            <w:tcW w:w="851" w:type="dxa"/>
            <w:noWrap/>
            <w:tcMar>
              <w:right w:w="170" w:type="dxa"/>
            </w:tcMar>
            <w:vAlign w:val="center"/>
          </w:tcPr>
          <w:p w14:paraId="02D7E781" w14:textId="77777777" w:rsidR="00830024" w:rsidRPr="00830024" w:rsidRDefault="00830024" w:rsidP="00830024">
            <w:pPr>
              <w:jc w:val="right"/>
            </w:pPr>
            <w:r w:rsidRPr="00830024">
              <w:t>40</w:t>
            </w:r>
          </w:p>
        </w:tc>
        <w:tc>
          <w:tcPr>
            <w:tcW w:w="850" w:type="dxa"/>
            <w:noWrap/>
            <w:tcMar>
              <w:right w:w="170" w:type="dxa"/>
            </w:tcMar>
            <w:vAlign w:val="center"/>
          </w:tcPr>
          <w:p w14:paraId="2FD8E448" w14:textId="77777777" w:rsidR="00830024" w:rsidRPr="00830024" w:rsidRDefault="00830024" w:rsidP="00830024">
            <w:pPr>
              <w:jc w:val="right"/>
            </w:pPr>
            <w:r w:rsidRPr="00830024">
              <w:t>30</w:t>
            </w:r>
          </w:p>
        </w:tc>
        <w:tc>
          <w:tcPr>
            <w:tcW w:w="851" w:type="dxa"/>
            <w:noWrap/>
            <w:tcMar>
              <w:right w:w="170" w:type="dxa"/>
            </w:tcMar>
            <w:vAlign w:val="center"/>
          </w:tcPr>
          <w:p w14:paraId="2EBA5C47" w14:textId="77777777" w:rsidR="00830024" w:rsidRPr="00830024" w:rsidRDefault="00830024" w:rsidP="00830024">
            <w:pPr>
              <w:jc w:val="right"/>
            </w:pPr>
            <w:r w:rsidRPr="00830024">
              <w:t>20</w:t>
            </w:r>
          </w:p>
        </w:tc>
        <w:tc>
          <w:tcPr>
            <w:tcW w:w="850" w:type="dxa"/>
            <w:noWrap/>
            <w:tcMar>
              <w:right w:w="170" w:type="dxa"/>
            </w:tcMar>
            <w:vAlign w:val="center"/>
          </w:tcPr>
          <w:p w14:paraId="3E72CA2A" w14:textId="77777777" w:rsidR="00830024" w:rsidRPr="00830024" w:rsidRDefault="00830024" w:rsidP="00830024">
            <w:pPr>
              <w:jc w:val="right"/>
            </w:pPr>
            <w:r w:rsidRPr="00830024">
              <w:t>-</w:t>
            </w:r>
          </w:p>
        </w:tc>
        <w:tc>
          <w:tcPr>
            <w:tcW w:w="1134" w:type="dxa"/>
            <w:noWrap/>
            <w:tcMar>
              <w:right w:w="170" w:type="dxa"/>
            </w:tcMar>
            <w:vAlign w:val="center"/>
          </w:tcPr>
          <w:p w14:paraId="54C273D7" w14:textId="77777777" w:rsidR="00830024" w:rsidRPr="00830024" w:rsidRDefault="00830024" w:rsidP="00830024">
            <w:pPr>
              <w:jc w:val="right"/>
              <w:rPr>
                <w:b/>
              </w:rPr>
            </w:pPr>
            <w:r w:rsidRPr="00830024">
              <w:rPr>
                <w:b/>
              </w:rPr>
              <w:t>10</w:t>
            </w:r>
          </w:p>
        </w:tc>
      </w:tr>
      <w:tr w:rsidR="00830024" w:rsidRPr="00AB7430" w14:paraId="437BDDB4" w14:textId="77777777" w:rsidTr="00154714">
        <w:trPr>
          <w:trHeight w:hRule="exact" w:val="284"/>
          <w:jc w:val="center"/>
        </w:trPr>
        <w:tc>
          <w:tcPr>
            <w:tcW w:w="2040" w:type="dxa"/>
            <w:vMerge/>
            <w:shd w:val="clear" w:color="auto" w:fill="B4C6E7" w:themeFill="accent1" w:themeFillTint="66"/>
            <w:vAlign w:val="center"/>
          </w:tcPr>
          <w:p w14:paraId="1444C69B" w14:textId="77777777" w:rsidR="00830024" w:rsidRPr="00830024" w:rsidRDefault="00830024" w:rsidP="00830024"/>
        </w:tc>
        <w:tc>
          <w:tcPr>
            <w:tcW w:w="1770" w:type="dxa"/>
            <w:tcMar>
              <w:right w:w="170" w:type="dxa"/>
            </w:tcMar>
            <w:vAlign w:val="center"/>
          </w:tcPr>
          <w:p w14:paraId="2D83E2FB" w14:textId="77777777" w:rsidR="00830024" w:rsidRPr="00830024" w:rsidRDefault="00830024" w:rsidP="00830024">
            <w:pPr>
              <w:jc w:val="right"/>
            </w:pPr>
            <w:r w:rsidRPr="00830024">
              <w:t>24 hodin</w:t>
            </w:r>
            <w:r w:rsidRPr="00830024">
              <w:rPr>
                <w:vertAlign w:val="superscript"/>
              </w:rPr>
              <w:t>a</w:t>
            </w:r>
          </w:p>
        </w:tc>
        <w:tc>
          <w:tcPr>
            <w:tcW w:w="851" w:type="dxa"/>
            <w:noWrap/>
            <w:tcMar>
              <w:right w:w="170" w:type="dxa"/>
            </w:tcMar>
            <w:vAlign w:val="center"/>
          </w:tcPr>
          <w:p w14:paraId="37A77347" w14:textId="77777777" w:rsidR="00830024" w:rsidRPr="00830024" w:rsidRDefault="00830024" w:rsidP="00830024">
            <w:pPr>
              <w:jc w:val="right"/>
            </w:pPr>
            <w:r w:rsidRPr="00830024">
              <w:t>120</w:t>
            </w:r>
          </w:p>
        </w:tc>
        <w:tc>
          <w:tcPr>
            <w:tcW w:w="850" w:type="dxa"/>
            <w:noWrap/>
            <w:tcMar>
              <w:right w:w="170" w:type="dxa"/>
            </w:tcMar>
            <w:vAlign w:val="center"/>
          </w:tcPr>
          <w:p w14:paraId="2DFE3832" w14:textId="77777777" w:rsidR="00830024" w:rsidRPr="00830024" w:rsidRDefault="00830024" w:rsidP="00830024">
            <w:pPr>
              <w:jc w:val="right"/>
            </w:pPr>
            <w:r w:rsidRPr="00830024">
              <w:t>50</w:t>
            </w:r>
          </w:p>
        </w:tc>
        <w:tc>
          <w:tcPr>
            <w:tcW w:w="851" w:type="dxa"/>
            <w:noWrap/>
            <w:tcMar>
              <w:right w:w="170" w:type="dxa"/>
            </w:tcMar>
            <w:vAlign w:val="center"/>
          </w:tcPr>
          <w:p w14:paraId="0CBEA1FF" w14:textId="77777777" w:rsidR="00830024" w:rsidRPr="00830024" w:rsidRDefault="00830024" w:rsidP="00830024">
            <w:pPr>
              <w:jc w:val="right"/>
            </w:pPr>
            <w:r w:rsidRPr="00830024">
              <w:t>-</w:t>
            </w:r>
          </w:p>
        </w:tc>
        <w:tc>
          <w:tcPr>
            <w:tcW w:w="850" w:type="dxa"/>
            <w:noWrap/>
            <w:tcMar>
              <w:right w:w="170" w:type="dxa"/>
            </w:tcMar>
            <w:vAlign w:val="center"/>
          </w:tcPr>
          <w:p w14:paraId="08596039" w14:textId="77777777" w:rsidR="00830024" w:rsidRPr="00830024" w:rsidRDefault="00830024" w:rsidP="00830024">
            <w:pPr>
              <w:jc w:val="right"/>
            </w:pPr>
            <w:r w:rsidRPr="00830024">
              <w:t>-</w:t>
            </w:r>
          </w:p>
        </w:tc>
        <w:tc>
          <w:tcPr>
            <w:tcW w:w="1134" w:type="dxa"/>
            <w:noWrap/>
            <w:tcMar>
              <w:right w:w="170" w:type="dxa"/>
            </w:tcMar>
            <w:vAlign w:val="center"/>
          </w:tcPr>
          <w:p w14:paraId="67CD211A" w14:textId="77777777" w:rsidR="00830024" w:rsidRPr="00830024" w:rsidRDefault="00830024" w:rsidP="00830024">
            <w:pPr>
              <w:jc w:val="right"/>
              <w:rPr>
                <w:b/>
              </w:rPr>
            </w:pPr>
            <w:r w:rsidRPr="00830024">
              <w:rPr>
                <w:b/>
              </w:rPr>
              <w:t>25</w:t>
            </w:r>
          </w:p>
        </w:tc>
      </w:tr>
      <w:tr w:rsidR="00830024" w:rsidRPr="00AB7430" w14:paraId="76D56685" w14:textId="77777777" w:rsidTr="00154714">
        <w:trPr>
          <w:trHeight w:hRule="exact" w:val="284"/>
          <w:jc w:val="center"/>
        </w:trPr>
        <w:tc>
          <w:tcPr>
            <w:tcW w:w="2040" w:type="dxa"/>
            <w:shd w:val="clear" w:color="auto" w:fill="B4C6E7" w:themeFill="accent1" w:themeFillTint="66"/>
            <w:vAlign w:val="center"/>
          </w:tcPr>
          <w:p w14:paraId="01F51484" w14:textId="77777777" w:rsidR="00830024" w:rsidRPr="00830024" w:rsidRDefault="00830024" w:rsidP="00830024">
            <w:r w:rsidRPr="00830024">
              <w:t>SO</w:t>
            </w:r>
            <w:r w:rsidRPr="00830024">
              <w:rPr>
                <w:vertAlign w:val="subscript"/>
              </w:rPr>
              <w:t>2</w:t>
            </w:r>
            <w:r w:rsidRPr="00830024">
              <w:t xml:space="preserve"> </w:t>
            </w:r>
            <w:r w:rsidRPr="00830024">
              <w:rPr>
                <w:lang w:val="en-US"/>
              </w:rPr>
              <w:t>[µg/m</w:t>
            </w:r>
            <w:r w:rsidRPr="00830024">
              <w:rPr>
                <w:vertAlign w:val="superscript"/>
                <w:lang w:val="en-US"/>
              </w:rPr>
              <w:t>3</w:t>
            </w:r>
            <w:r w:rsidRPr="00830024">
              <w:rPr>
                <w:lang w:val="en-US"/>
              </w:rPr>
              <w:t>]</w:t>
            </w:r>
          </w:p>
        </w:tc>
        <w:tc>
          <w:tcPr>
            <w:tcW w:w="1770" w:type="dxa"/>
            <w:tcMar>
              <w:right w:w="170" w:type="dxa"/>
            </w:tcMar>
            <w:vAlign w:val="center"/>
          </w:tcPr>
          <w:p w14:paraId="3220C26D" w14:textId="77777777" w:rsidR="00830024" w:rsidRPr="00830024" w:rsidRDefault="00830024" w:rsidP="00830024">
            <w:pPr>
              <w:jc w:val="right"/>
            </w:pPr>
            <w:r w:rsidRPr="00830024">
              <w:t>24 hodin</w:t>
            </w:r>
            <w:r w:rsidRPr="00830024">
              <w:rPr>
                <w:vertAlign w:val="superscript"/>
              </w:rPr>
              <w:t>a</w:t>
            </w:r>
          </w:p>
        </w:tc>
        <w:tc>
          <w:tcPr>
            <w:tcW w:w="851" w:type="dxa"/>
            <w:noWrap/>
            <w:tcMar>
              <w:right w:w="170" w:type="dxa"/>
            </w:tcMar>
            <w:vAlign w:val="center"/>
          </w:tcPr>
          <w:p w14:paraId="2DCFAB77" w14:textId="77777777" w:rsidR="00830024" w:rsidRPr="00830024" w:rsidRDefault="00830024" w:rsidP="00830024">
            <w:pPr>
              <w:jc w:val="right"/>
            </w:pPr>
            <w:r w:rsidRPr="00830024">
              <w:t>125</w:t>
            </w:r>
          </w:p>
        </w:tc>
        <w:tc>
          <w:tcPr>
            <w:tcW w:w="850" w:type="dxa"/>
            <w:noWrap/>
            <w:tcMar>
              <w:right w:w="170" w:type="dxa"/>
            </w:tcMar>
            <w:vAlign w:val="center"/>
          </w:tcPr>
          <w:p w14:paraId="12F1B2E0" w14:textId="77777777" w:rsidR="00830024" w:rsidRPr="00830024" w:rsidRDefault="00830024" w:rsidP="00830024">
            <w:pPr>
              <w:jc w:val="right"/>
            </w:pPr>
            <w:r w:rsidRPr="00830024">
              <w:t>50</w:t>
            </w:r>
          </w:p>
        </w:tc>
        <w:tc>
          <w:tcPr>
            <w:tcW w:w="851" w:type="dxa"/>
            <w:noWrap/>
            <w:tcMar>
              <w:right w:w="170" w:type="dxa"/>
            </w:tcMar>
            <w:vAlign w:val="center"/>
          </w:tcPr>
          <w:p w14:paraId="5D67E928" w14:textId="77777777" w:rsidR="00830024" w:rsidRPr="00830024" w:rsidRDefault="00830024" w:rsidP="00830024">
            <w:pPr>
              <w:jc w:val="right"/>
            </w:pPr>
            <w:r w:rsidRPr="00830024">
              <w:t>-</w:t>
            </w:r>
          </w:p>
        </w:tc>
        <w:tc>
          <w:tcPr>
            <w:tcW w:w="850" w:type="dxa"/>
            <w:noWrap/>
            <w:tcMar>
              <w:right w:w="170" w:type="dxa"/>
            </w:tcMar>
            <w:vAlign w:val="center"/>
          </w:tcPr>
          <w:p w14:paraId="76687CB1" w14:textId="77777777" w:rsidR="00830024" w:rsidRPr="00830024" w:rsidRDefault="00830024" w:rsidP="00830024">
            <w:pPr>
              <w:jc w:val="right"/>
            </w:pPr>
            <w:r w:rsidRPr="00830024">
              <w:t>-</w:t>
            </w:r>
          </w:p>
        </w:tc>
        <w:tc>
          <w:tcPr>
            <w:tcW w:w="1134" w:type="dxa"/>
            <w:noWrap/>
            <w:tcMar>
              <w:right w:w="170" w:type="dxa"/>
            </w:tcMar>
            <w:vAlign w:val="center"/>
          </w:tcPr>
          <w:p w14:paraId="2184985A" w14:textId="77777777" w:rsidR="00830024" w:rsidRPr="00830024" w:rsidRDefault="00830024" w:rsidP="00830024">
            <w:pPr>
              <w:jc w:val="right"/>
              <w:rPr>
                <w:b/>
              </w:rPr>
            </w:pPr>
            <w:r w:rsidRPr="00830024">
              <w:rPr>
                <w:b/>
              </w:rPr>
              <w:t>40</w:t>
            </w:r>
          </w:p>
        </w:tc>
      </w:tr>
      <w:tr w:rsidR="00830024" w:rsidRPr="00AB7430" w14:paraId="75DCEB73" w14:textId="77777777" w:rsidTr="00154714">
        <w:trPr>
          <w:trHeight w:hRule="exact" w:val="284"/>
          <w:jc w:val="center"/>
        </w:trPr>
        <w:tc>
          <w:tcPr>
            <w:tcW w:w="2040" w:type="dxa"/>
            <w:shd w:val="clear" w:color="auto" w:fill="B4C6E7" w:themeFill="accent1" w:themeFillTint="66"/>
            <w:vAlign w:val="center"/>
          </w:tcPr>
          <w:p w14:paraId="73CAF480" w14:textId="77777777" w:rsidR="00830024" w:rsidRPr="00830024" w:rsidRDefault="00830024" w:rsidP="00830024">
            <w:r w:rsidRPr="00830024">
              <w:t xml:space="preserve">CO </w:t>
            </w:r>
            <w:r w:rsidRPr="00830024">
              <w:rPr>
                <w:lang w:val="en-US"/>
              </w:rPr>
              <w:t>[mg/m</w:t>
            </w:r>
            <w:r w:rsidRPr="00830024">
              <w:rPr>
                <w:vertAlign w:val="superscript"/>
                <w:lang w:val="en-US"/>
              </w:rPr>
              <w:t>3</w:t>
            </w:r>
            <w:r w:rsidRPr="00830024">
              <w:rPr>
                <w:lang w:val="en-US"/>
              </w:rPr>
              <w:t>]</w:t>
            </w:r>
          </w:p>
        </w:tc>
        <w:tc>
          <w:tcPr>
            <w:tcW w:w="1770" w:type="dxa"/>
            <w:tcMar>
              <w:right w:w="170" w:type="dxa"/>
            </w:tcMar>
            <w:vAlign w:val="center"/>
          </w:tcPr>
          <w:p w14:paraId="4C12B9D3" w14:textId="77777777" w:rsidR="00830024" w:rsidRPr="00830024" w:rsidRDefault="00830024" w:rsidP="00830024">
            <w:pPr>
              <w:jc w:val="right"/>
            </w:pPr>
            <w:r w:rsidRPr="00830024">
              <w:t>24 hodin</w:t>
            </w:r>
            <w:r w:rsidRPr="00830024">
              <w:rPr>
                <w:vertAlign w:val="superscript"/>
              </w:rPr>
              <w:t>a</w:t>
            </w:r>
          </w:p>
        </w:tc>
        <w:tc>
          <w:tcPr>
            <w:tcW w:w="851" w:type="dxa"/>
            <w:noWrap/>
            <w:tcMar>
              <w:right w:w="170" w:type="dxa"/>
            </w:tcMar>
            <w:vAlign w:val="center"/>
          </w:tcPr>
          <w:p w14:paraId="056FC014" w14:textId="77777777" w:rsidR="00830024" w:rsidRPr="00830024" w:rsidRDefault="00830024" w:rsidP="00830024">
            <w:pPr>
              <w:jc w:val="right"/>
            </w:pPr>
            <w:r w:rsidRPr="00830024">
              <w:t>7</w:t>
            </w:r>
          </w:p>
        </w:tc>
        <w:tc>
          <w:tcPr>
            <w:tcW w:w="850" w:type="dxa"/>
            <w:noWrap/>
            <w:tcMar>
              <w:right w:w="170" w:type="dxa"/>
            </w:tcMar>
            <w:vAlign w:val="center"/>
          </w:tcPr>
          <w:p w14:paraId="2B286C60" w14:textId="77777777" w:rsidR="00830024" w:rsidRPr="00830024" w:rsidRDefault="00830024" w:rsidP="00830024">
            <w:pPr>
              <w:jc w:val="right"/>
            </w:pPr>
            <w:r w:rsidRPr="00830024">
              <w:t>-</w:t>
            </w:r>
          </w:p>
        </w:tc>
        <w:tc>
          <w:tcPr>
            <w:tcW w:w="851" w:type="dxa"/>
            <w:noWrap/>
            <w:tcMar>
              <w:right w:w="170" w:type="dxa"/>
            </w:tcMar>
            <w:vAlign w:val="center"/>
          </w:tcPr>
          <w:p w14:paraId="48D25FB0" w14:textId="77777777" w:rsidR="00830024" w:rsidRPr="00830024" w:rsidRDefault="00830024" w:rsidP="00830024">
            <w:pPr>
              <w:jc w:val="right"/>
            </w:pPr>
            <w:r w:rsidRPr="00830024">
              <w:t>-</w:t>
            </w:r>
          </w:p>
        </w:tc>
        <w:tc>
          <w:tcPr>
            <w:tcW w:w="850" w:type="dxa"/>
            <w:noWrap/>
            <w:tcMar>
              <w:right w:w="170" w:type="dxa"/>
            </w:tcMar>
            <w:vAlign w:val="center"/>
          </w:tcPr>
          <w:p w14:paraId="49ADC159" w14:textId="77777777" w:rsidR="00830024" w:rsidRPr="00830024" w:rsidRDefault="00830024" w:rsidP="00830024">
            <w:pPr>
              <w:jc w:val="right"/>
            </w:pPr>
            <w:r w:rsidRPr="00830024">
              <w:t>-</w:t>
            </w:r>
          </w:p>
        </w:tc>
        <w:tc>
          <w:tcPr>
            <w:tcW w:w="1134" w:type="dxa"/>
            <w:noWrap/>
            <w:tcMar>
              <w:right w:w="170" w:type="dxa"/>
            </w:tcMar>
            <w:vAlign w:val="center"/>
          </w:tcPr>
          <w:p w14:paraId="29DF4814" w14:textId="77777777" w:rsidR="00830024" w:rsidRPr="00830024" w:rsidRDefault="00830024" w:rsidP="00830024">
            <w:pPr>
              <w:jc w:val="right"/>
              <w:rPr>
                <w:b/>
              </w:rPr>
            </w:pPr>
            <w:r w:rsidRPr="00830024">
              <w:rPr>
                <w:b/>
              </w:rPr>
              <w:t>4</w:t>
            </w:r>
          </w:p>
        </w:tc>
      </w:tr>
      <w:tr w:rsidR="00830024" w:rsidRPr="00AB7430" w14:paraId="66D2CFBF" w14:textId="77777777" w:rsidTr="00154714">
        <w:trPr>
          <w:trHeight w:hRule="exact" w:val="284"/>
          <w:jc w:val="center"/>
        </w:trPr>
        <w:tc>
          <w:tcPr>
            <w:tcW w:w="8346" w:type="dxa"/>
            <w:gridSpan w:val="7"/>
            <w:shd w:val="clear" w:color="auto" w:fill="B4C6E7" w:themeFill="accent1" w:themeFillTint="66"/>
            <w:vAlign w:val="center"/>
          </w:tcPr>
          <w:p w14:paraId="37417FDB" w14:textId="77777777" w:rsidR="00830024" w:rsidRPr="00830024" w:rsidRDefault="00830024" w:rsidP="00830024">
            <w:pPr>
              <w:jc w:val="center"/>
            </w:pPr>
            <w:r w:rsidRPr="00830024">
              <w:t>Doporučení, která zůstávají v platnosti</w:t>
            </w:r>
          </w:p>
        </w:tc>
      </w:tr>
      <w:tr w:rsidR="00830024" w:rsidRPr="00AB7430" w14:paraId="560479AC" w14:textId="77777777" w:rsidTr="00154714">
        <w:trPr>
          <w:trHeight w:hRule="exact" w:val="284"/>
          <w:jc w:val="center"/>
        </w:trPr>
        <w:tc>
          <w:tcPr>
            <w:tcW w:w="2040" w:type="dxa"/>
            <w:shd w:val="clear" w:color="auto" w:fill="B4C6E7" w:themeFill="accent1" w:themeFillTint="66"/>
            <w:vAlign w:val="center"/>
          </w:tcPr>
          <w:p w14:paraId="4078AE66" w14:textId="77777777" w:rsidR="00830024" w:rsidRPr="00830024" w:rsidRDefault="00830024" w:rsidP="00830024">
            <w:r w:rsidRPr="00830024">
              <w:t>NO</w:t>
            </w:r>
            <w:r w:rsidRPr="00830024">
              <w:rPr>
                <w:vertAlign w:val="subscript"/>
              </w:rPr>
              <w:t xml:space="preserve">2 </w:t>
            </w:r>
            <w:r w:rsidRPr="00830024">
              <w:rPr>
                <w:lang w:val="en-US"/>
              </w:rPr>
              <w:t>[µg/m</w:t>
            </w:r>
            <w:r w:rsidRPr="00830024">
              <w:rPr>
                <w:vertAlign w:val="superscript"/>
                <w:lang w:val="en-US"/>
              </w:rPr>
              <w:t>3</w:t>
            </w:r>
            <w:r w:rsidRPr="00830024">
              <w:rPr>
                <w:lang w:val="en-US"/>
              </w:rPr>
              <w:t>]</w:t>
            </w:r>
          </w:p>
        </w:tc>
        <w:tc>
          <w:tcPr>
            <w:tcW w:w="1770" w:type="dxa"/>
            <w:tcMar>
              <w:right w:w="198" w:type="dxa"/>
            </w:tcMar>
            <w:vAlign w:val="center"/>
          </w:tcPr>
          <w:p w14:paraId="70C75AFD" w14:textId="77777777" w:rsidR="00830024" w:rsidRPr="00830024" w:rsidRDefault="00830024" w:rsidP="00830024">
            <w:pPr>
              <w:jc w:val="right"/>
            </w:pPr>
            <w:r w:rsidRPr="00830024">
              <w:t>1 hodina</w:t>
            </w:r>
          </w:p>
        </w:tc>
        <w:tc>
          <w:tcPr>
            <w:tcW w:w="851" w:type="dxa"/>
            <w:noWrap/>
            <w:tcMar>
              <w:right w:w="170" w:type="dxa"/>
            </w:tcMar>
            <w:vAlign w:val="center"/>
          </w:tcPr>
          <w:p w14:paraId="2AFA973E" w14:textId="77777777" w:rsidR="00830024" w:rsidRPr="00830024" w:rsidRDefault="00830024" w:rsidP="00830024">
            <w:pPr>
              <w:jc w:val="right"/>
            </w:pPr>
            <w:r w:rsidRPr="00830024">
              <w:t>-</w:t>
            </w:r>
          </w:p>
        </w:tc>
        <w:tc>
          <w:tcPr>
            <w:tcW w:w="850" w:type="dxa"/>
            <w:noWrap/>
            <w:tcMar>
              <w:right w:w="170" w:type="dxa"/>
            </w:tcMar>
            <w:vAlign w:val="center"/>
          </w:tcPr>
          <w:p w14:paraId="6A88FEC3" w14:textId="77777777" w:rsidR="00830024" w:rsidRPr="00830024" w:rsidRDefault="00830024" w:rsidP="00830024">
            <w:pPr>
              <w:jc w:val="right"/>
            </w:pPr>
            <w:r w:rsidRPr="00830024">
              <w:t>-</w:t>
            </w:r>
          </w:p>
        </w:tc>
        <w:tc>
          <w:tcPr>
            <w:tcW w:w="851" w:type="dxa"/>
            <w:noWrap/>
            <w:tcMar>
              <w:right w:w="170" w:type="dxa"/>
            </w:tcMar>
            <w:vAlign w:val="center"/>
          </w:tcPr>
          <w:p w14:paraId="24A2657E" w14:textId="77777777" w:rsidR="00830024" w:rsidRPr="00830024" w:rsidRDefault="00830024" w:rsidP="00830024">
            <w:pPr>
              <w:jc w:val="right"/>
            </w:pPr>
            <w:r w:rsidRPr="00830024">
              <w:t>-</w:t>
            </w:r>
          </w:p>
        </w:tc>
        <w:tc>
          <w:tcPr>
            <w:tcW w:w="850" w:type="dxa"/>
            <w:noWrap/>
            <w:tcMar>
              <w:right w:w="170" w:type="dxa"/>
            </w:tcMar>
            <w:vAlign w:val="center"/>
          </w:tcPr>
          <w:p w14:paraId="051C66C6" w14:textId="77777777" w:rsidR="00830024" w:rsidRPr="00830024" w:rsidRDefault="00830024" w:rsidP="00830024">
            <w:pPr>
              <w:jc w:val="right"/>
            </w:pPr>
            <w:r w:rsidRPr="00830024">
              <w:t>-</w:t>
            </w:r>
          </w:p>
        </w:tc>
        <w:tc>
          <w:tcPr>
            <w:tcW w:w="1134" w:type="dxa"/>
            <w:noWrap/>
            <w:tcMar>
              <w:right w:w="170" w:type="dxa"/>
            </w:tcMar>
            <w:vAlign w:val="center"/>
          </w:tcPr>
          <w:p w14:paraId="2D9F5ECC" w14:textId="77777777" w:rsidR="00830024" w:rsidRPr="00830024" w:rsidRDefault="00830024" w:rsidP="00830024">
            <w:pPr>
              <w:jc w:val="right"/>
              <w:rPr>
                <w:b/>
              </w:rPr>
            </w:pPr>
            <w:r w:rsidRPr="00830024">
              <w:rPr>
                <w:b/>
              </w:rPr>
              <w:t>200</w:t>
            </w:r>
          </w:p>
        </w:tc>
      </w:tr>
      <w:tr w:rsidR="00830024" w:rsidRPr="00AB7430" w14:paraId="36F7BFC1" w14:textId="77777777" w:rsidTr="00154714">
        <w:trPr>
          <w:trHeight w:hRule="exact" w:val="284"/>
          <w:jc w:val="center"/>
        </w:trPr>
        <w:tc>
          <w:tcPr>
            <w:tcW w:w="2040" w:type="dxa"/>
            <w:shd w:val="clear" w:color="auto" w:fill="B4C6E7" w:themeFill="accent1" w:themeFillTint="66"/>
            <w:vAlign w:val="center"/>
          </w:tcPr>
          <w:p w14:paraId="04BC92DB" w14:textId="77777777" w:rsidR="00830024" w:rsidRPr="00830024" w:rsidRDefault="00830024" w:rsidP="00830024">
            <w:r w:rsidRPr="00830024">
              <w:t>SO</w:t>
            </w:r>
            <w:r w:rsidRPr="00830024">
              <w:rPr>
                <w:vertAlign w:val="subscript"/>
              </w:rPr>
              <w:t>2</w:t>
            </w:r>
            <w:r w:rsidRPr="00830024">
              <w:t xml:space="preserve"> </w:t>
            </w:r>
            <w:r w:rsidRPr="00830024">
              <w:rPr>
                <w:lang w:val="en-US"/>
              </w:rPr>
              <w:t>[µg/m</w:t>
            </w:r>
            <w:r w:rsidRPr="00830024">
              <w:rPr>
                <w:vertAlign w:val="superscript"/>
                <w:lang w:val="en-US"/>
              </w:rPr>
              <w:t>3</w:t>
            </w:r>
            <w:r w:rsidRPr="00830024">
              <w:rPr>
                <w:lang w:val="en-US"/>
              </w:rPr>
              <w:t>]</w:t>
            </w:r>
          </w:p>
        </w:tc>
        <w:tc>
          <w:tcPr>
            <w:tcW w:w="1770" w:type="dxa"/>
            <w:tcMar>
              <w:right w:w="198" w:type="dxa"/>
            </w:tcMar>
            <w:vAlign w:val="center"/>
          </w:tcPr>
          <w:p w14:paraId="515A8717" w14:textId="77777777" w:rsidR="00830024" w:rsidRPr="00830024" w:rsidRDefault="00830024" w:rsidP="00830024">
            <w:pPr>
              <w:jc w:val="right"/>
            </w:pPr>
            <w:r w:rsidRPr="00830024">
              <w:t>10 minut</w:t>
            </w:r>
          </w:p>
        </w:tc>
        <w:tc>
          <w:tcPr>
            <w:tcW w:w="851" w:type="dxa"/>
            <w:noWrap/>
            <w:tcMar>
              <w:right w:w="170" w:type="dxa"/>
            </w:tcMar>
            <w:vAlign w:val="center"/>
          </w:tcPr>
          <w:p w14:paraId="18FD6BA7" w14:textId="77777777" w:rsidR="00830024" w:rsidRPr="00830024" w:rsidRDefault="00830024" w:rsidP="00830024">
            <w:pPr>
              <w:jc w:val="right"/>
            </w:pPr>
            <w:r w:rsidRPr="00830024">
              <w:t>-</w:t>
            </w:r>
          </w:p>
        </w:tc>
        <w:tc>
          <w:tcPr>
            <w:tcW w:w="850" w:type="dxa"/>
            <w:noWrap/>
            <w:tcMar>
              <w:right w:w="170" w:type="dxa"/>
            </w:tcMar>
            <w:vAlign w:val="center"/>
          </w:tcPr>
          <w:p w14:paraId="4D17A788" w14:textId="77777777" w:rsidR="00830024" w:rsidRPr="00830024" w:rsidRDefault="00830024" w:rsidP="00830024">
            <w:pPr>
              <w:jc w:val="right"/>
            </w:pPr>
            <w:r w:rsidRPr="00830024">
              <w:t>-</w:t>
            </w:r>
          </w:p>
        </w:tc>
        <w:tc>
          <w:tcPr>
            <w:tcW w:w="851" w:type="dxa"/>
            <w:noWrap/>
            <w:tcMar>
              <w:right w:w="170" w:type="dxa"/>
            </w:tcMar>
            <w:vAlign w:val="center"/>
          </w:tcPr>
          <w:p w14:paraId="1F82D949" w14:textId="77777777" w:rsidR="00830024" w:rsidRPr="00830024" w:rsidRDefault="00830024" w:rsidP="00830024">
            <w:pPr>
              <w:jc w:val="right"/>
            </w:pPr>
            <w:r w:rsidRPr="00830024">
              <w:t>-</w:t>
            </w:r>
          </w:p>
        </w:tc>
        <w:tc>
          <w:tcPr>
            <w:tcW w:w="850" w:type="dxa"/>
            <w:noWrap/>
            <w:tcMar>
              <w:right w:w="170" w:type="dxa"/>
            </w:tcMar>
            <w:vAlign w:val="center"/>
          </w:tcPr>
          <w:p w14:paraId="79D686EE" w14:textId="77777777" w:rsidR="00830024" w:rsidRPr="00830024" w:rsidRDefault="00830024" w:rsidP="00830024">
            <w:pPr>
              <w:jc w:val="right"/>
            </w:pPr>
            <w:r w:rsidRPr="00830024">
              <w:t>-</w:t>
            </w:r>
          </w:p>
        </w:tc>
        <w:tc>
          <w:tcPr>
            <w:tcW w:w="1134" w:type="dxa"/>
            <w:noWrap/>
            <w:tcMar>
              <w:right w:w="170" w:type="dxa"/>
            </w:tcMar>
            <w:vAlign w:val="center"/>
          </w:tcPr>
          <w:p w14:paraId="36034841" w14:textId="77777777" w:rsidR="00830024" w:rsidRPr="00830024" w:rsidRDefault="00830024" w:rsidP="00830024">
            <w:pPr>
              <w:jc w:val="right"/>
              <w:rPr>
                <w:b/>
              </w:rPr>
            </w:pPr>
            <w:r w:rsidRPr="00830024">
              <w:rPr>
                <w:b/>
              </w:rPr>
              <w:t>500</w:t>
            </w:r>
          </w:p>
        </w:tc>
      </w:tr>
      <w:tr w:rsidR="00830024" w:rsidRPr="00AB7430" w14:paraId="062BA393" w14:textId="77777777" w:rsidTr="00154714">
        <w:trPr>
          <w:trHeight w:hRule="exact" w:val="284"/>
          <w:jc w:val="center"/>
        </w:trPr>
        <w:tc>
          <w:tcPr>
            <w:tcW w:w="2040" w:type="dxa"/>
            <w:vMerge w:val="restart"/>
            <w:shd w:val="clear" w:color="auto" w:fill="B4C6E7" w:themeFill="accent1" w:themeFillTint="66"/>
            <w:vAlign w:val="center"/>
          </w:tcPr>
          <w:p w14:paraId="5984164B" w14:textId="77777777" w:rsidR="00830024" w:rsidRPr="00830024" w:rsidRDefault="00830024" w:rsidP="00830024">
            <w:r w:rsidRPr="00830024">
              <w:t xml:space="preserve">CO </w:t>
            </w:r>
            <w:r w:rsidRPr="00830024">
              <w:rPr>
                <w:lang w:val="en-US"/>
              </w:rPr>
              <w:t>[mg/m</w:t>
            </w:r>
            <w:r w:rsidRPr="00830024">
              <w:rPr>
                <w:vertAlign w:val="superscript"/>
                <w:lang w:val="en-US"/>
              </w:rPr>
              <w:t>3</w:t>
            </w:r>
            <w:r w:rsidRPr="00830024">
              <w:rPr>
                <w:lang w:val="en-US"/>
              </w:rPr>
              <w:t>]</w:t>
            </w:r>
          </w:p>
        </w:tc>
        <w:tc>
          <w:tcPr>
            <w:tcW w:w="1770" w:type="dxa"/>
            <w:tcMar>
              <w:right w:w="198" w:type="dxa"/>
            </w:tcMar>
            <w:vAlign w:val="center"/>
          </w:tcPr>
          <w:p w14:paraId="3B582A84" w14:textId="77777777" w:rsidR="00830024" w:rsidRPr="00830024" w:rsidRDefault="00830024" w:rsidP="00830024">
            <w:pPr>
              <w:jc w:val="right"/>
            </w:pPr>
            <w:r w:rsidRPr="00830024">
              <w:t>8 hodin</w:t>
            </w:r>
          </w:p>
        </w:tc>
        <w:tc>
          <w:tcPr>
            <w:tcW w:w="851" w:type="dxa"/>
            <w:noWrap/>
            <w:tcMar>
              <w:right w:w="170" w:type="dxa"/>
            </w:tcMar>
            <w:vAlign w:val="center"/>
          </w:tcPr>
          <w:p w14:paraId="4063D9AD" w14:textId="77777777" w:rsidR="00830024" w:rsidRPr="00830024" w:rsidRDefault="00830024" w:rsidP="00830024">
            <w:pPr>
              <w:jc w:val="right"/>
            </w:pPr>
            <w:r w:rsidRPr="00830024">
              <w:t>-</w:t>
            </w:r>
          </w:p>
        </w:tc>
        <w:tc>
          <w:tcPr>
            <w:tcW w:w="850" w:type="dxa"/>
            <w:noWrap/>
            <w:tcMar>
              <w:right w:w="170" w:type="dxa"/>
            </w:tcMar>
            <w:vAlign w:val="center"/>
          </w:tcPr>
          <w:p w14:paraId="51A2A5E0" w14:textId="77777777" w:rsidR="00830024" w:rsidRPr="00830024" w:rsidRDefault="00830024" w:rsidP="00830024">
            <w:pPr>
              <w:jc w:val="right"/>
            </w:pPr>
            <w:r w:rsidRPr="00830024">
              <w:t>-</w:t>
            </w:r>
          </w:p>
        </w:tc>
        <w:tc>
          <w:tcPr>
            <w:tcW w:w="851" w:type="dxa"/>
            <w:noWrap/>
            <w:tcMar>
              <w:right w:w="170" w:type="dxa"/>
            </w:tcMar>
            <w:vAlign w:val="center"/>
          </w:tcPr>
          <w:p w14:paraId="67C26F05" w14:textId="77777777" w:rsidR="00830024" w:rsidRPr="00830024" w:rsidRDefault="00830024" w:rsidP="00830024">
            <w:pPr>
              <w:jc w:val="right"/>
            </w:pPr>
            <w:r w:rsidRPr="00830024">
              <w:t>-</w:t>
            </w:r>
          </w:p>
        </w:tc>
        <w:tc>
          <w:tcPr>
            <w:tcW w:w="850" w:type="dxa"/>
            <w:noWrap/>
            <w:tcMar>
              <w:right w:w="170" w:type="dxa"/>
            </w:tcMar>
            <w:vAlign w:val="center"/>
          </w:tcPr>
          <w:p w14:paraId="2929FB31" w14:textId="77777777" w:rsidR="00830024" w:rsidRPr="00830024" w:rsidRDefault="00830024" w:rsidP="00830024">
            <w:pPr>
              <w:jc w:val="right"/>
            </w:pPr>
            <w:r w:rsidRPr="00830024">
              <w:t>-</w:t>
            </w:r>
          </w:p>
        </w:tc>
        <w:tc>
          <w:tcPr>
            <w:tcW w:w="1134" w:type="dxa"/>
            <w:noWrap/>
            <w:tcMar>
              <w:right w:w="170" w:type="dxa"/>
            </w:tcMar>
            <w:vAlign w:val="center"/>
          </w:tcPr>
          <w:p w14:paraId="4A96619D" w14:textId="77777777" w:rsidR="00830024" w:rsidRPr="00830024" w:rsidRDefault="00830024" w:rsidP="00830024">
            <w:pPr>
              <w:jc w:val="right"/>
              <w:rPr>
                <w:b/>
              </w:rPr>
            </w:pPr>
            <w:r w:rsidRPr="00830024">
              <w:rPr>
                <w:b/>
              </w:rPr>
              <w:t>10</w:t>
            </w:r>
          </w:p>
        </w:tc>
      </w:tr>
      <w:tr w:rsidR="00830024" w:rsidRPr="00AB7430" w14:paraId="5B2246EF" w14:textId="77777777" w:rsidTr="00154714">
        <w:trPr>
          <w:trHeight w:hRule="exact" w:val="284"/>
          <w:jc w:val="center"/>
        </w:trPr>
        <w:tc>
          <w:tcPr>
            <w:tcW w:w="2040" w:type="dxa"/>
            <w:vMerge/>
            <w:shd w:val="clear" w:color="auto" w:fill="B4C6E7" w:themeFill="accent1" w:themeFillTint="66"/>
            <w:vAlign w:val="center"/>
          </w:tcPr>
          <w:p w14:paraId="532EE238" w14:textId="77777777" w:rsidR="00830024" w:rsidRPr="00830024" w:rsidRDefault="00830024" w:rsidP="00830024"/>
        </w:tc>
        <w:tc>
          <w:tcPr>
            <w:tcW w:w="1770" w:type="dxa"/>
            <w:tcMar>
              <w:right w:w="198" w:type="dxa"/>
            </w:tcMar>
            <w:vAlign w:val="center"/>
          </w:tcPr>
          <w:p w14:paraId="48A95170" w14:textId="77777777" w:rsidR="00830024" w:rsidRPr="00830024" w:rsidRDefault="00830024" w:rsidP="00830024">
            <w:pPr>
              <w:jc w:val="right"/>
            </w:pPr>
            <w:r w:rsidRPr="00830024">
              <w:t>1 hodina</w:t>
            </w:r>
          </w:p>
        </w:tc>
        <w:tc>
          <w:tcPr>
            <w:tcW w:w="851" w:type="dxa"/>
            <w:noWrap/>
            <w:tcMar>
              <w:right w:w="170" w:type="dxa"/>
            </w:tcMar>
            <w:vAlign w:val="center"/>
          </w:tcPr>
          <w:p w14:paraId="22A62063" w14:textId="77777777" w:rsidR="00830024" w:rsidRPr="00830024" w:rsidRDefault="00830024" w:rsidP="00830024">
            <w:pPr>
              <w:jc w:val="right"/>
            </w:pPr>
            <w:r w:rsidRPr="00830024">
              <w:t>-</w:t>
            </w:r>
          </w:p>
        </w:tc>
        <w:tc>
          <w:tcPr>
            <w:tcW w:w="850" w:type="dxa"/>
            <w:noWrap/>
            <w:tcMar>
              <w:right w:w="170" w:type="dxa"/>
            </w:tcMar>
            <w:vAlign w:val="center"/>
          </w:tcPr>
          <w:p w14:paraId="5A35429D" w14:textId="77777777" w:rsidR="00830024" w:rsidRPr="00830024" w:rsidRDefault="00830024" w:rsidP="00830024">
            <w:pPr>
              <w:jc w:val="right"/>
            </w:pPr>
            <w:r w:rsidRPr="00830024">
              <w:t>-</w:t>
            </w:r>
          </w:p>
        </w:tc>
        <w:tc>
          <w:tcPr>
            <w:tcW w:w="851" w:type="dxa"/>
            <w:noWrap/>
            <w:tcMar>
              <w:right w:w="170" w:type="dxa"/>
            </w:tcMar>
            <w:vAlign w:val="center"/>
          </w:tcPr>
          <w:p w14:paraId="48497A45" w14:textId="77777777" w:rsidR="00830024" w:rsidRPr="00830024" w:rsidRDefault="00830024" w:rsidP="00830024">
            <w:pPr>
              <w:jc w:val="right"/>
            </w:pPr>
            <w:r w:rsidRPr="00830024">
              <w:t>-</w:t>
            </w:r>
          </w:p>
        </w:tc>
        <w:tc>
          <w:tcPr>
            <w:tcW w:w="850" w:type="dxa"/>
            <w:noWrap/>
            <w:tcMar>
              <w:right w:w="170" w:type="dxa"/>
            </w:tcMar>
            <w:vAlign w:val="center"/>
          </w:tcPr>
          <w:p w14:paraId="45E47EDC" w14:textId="77777777" w:rsidR="00830024" w:rsidRPr="00830024" w:rsidRDefault="00830024" w:rsidP="00830024">
            <w:pPr>
              <w:jc w:val="right"/>
            </w:pPr>
            <w:r w:rsidRPr="00830024">
              <w:t>-</w:t>
            </w:r>
          </w:p>
        </w:tc>
        <w:tc>
          <w:tcPr>
            <w:tcW w:w="1134" w:type="dxa"/>
            <w:noWrap/>
            <w:tcMar>
              <w:right w:w="170" w:type="dxa"/>
            </w:tcMar>
            <w:vAlign w:val="center"/>
          </w:tcPr>
          <w:p w14:paraId="69E396EF" w14:textId="77777777" w:rsidR="00830024" w:rsidRPr="00830024" w:rsidRDefault="00830024" w:rsidP="00830024">
            <w:pPr>
              <w:jc w:val="right"/>
              <w:rPr>
                <w:b/>
              </w:rPr>
            </w:pPr>
            <w:r w:rsidRPr="00830024">
              <w:rPr>
                <w:b/>
              </w:rPr>
              <w:t>35</w:t>
            </w:r>
          </w:p>
        </w:tc>
      </w:tr>
      <w:tr w:rsidR="00830024" w:rsidRPr="00AB7430" w14:paraId="3FD6BDDD" w14:textId="77777777" w:rsidTr="00154714">
        <w:trPr>
          <w:trHeight w:hRule="exact" w:val="284"/>
          <w:jc w:val="center"/>
        </w:trPr>
        <w:tc>
          <w:tcPr>
            <w:tcW w:w="2040" w:type="dxa"/>
            <w:vMerge/>
            <w:shd w:val="clear" w:color="auto" w:fill="B4C6E7" w:themeFill="accent1" w:themeFillTint="66"/>
            <w:vAlign w:val="center"/>
          </w:tcPr>
          <w:p w14:paraId="4D081F2E" w14:textId="77777777" w:rsidR="00830024" w:rsidRPr="00AB7430" w:rsidRDefault="00830024" w:rsidP="00830024">
            <w:pPr>
              <w:rPr>
                <w:rFonts w:ascii="Times New Roman" w:hAnsi="Times New Roman"/>
              </w:rPr>
            </w:pPr>
          </w:p>
        </w:tc>
        <w:tc>
          <w:tcPr>
            <w:tcW w:w="1770" w:type="dxa"/>
            <w:tcMar>
              <w:right w:w="198" w:type="dxa"/>
            </w:tcMar>
            <w:vAlign w:val="center"/>
          </w:tcPr>
          <w:p w14:paraId="4BA1182E" w14:textId="77777777" w:rsidR="00830024" w:rsidRPr="00830024" w:rsidRDefault="00830024" w:rsidP="00830024">
            <w:pPr>
              <w:jc w:val="right"/>
            </w:pPr>
            <w:r w:rsidRPr="00830024">
              <w:t>15 minut</w:t>
            </w:r>
          </w:p>
        </w:tc>
        <w:tc>
          <w:tcPr>
            <w:tcW w:w="851" w:type="dxa"/>
            <w:noWrap/>
            <w:tcMar>
              <w:right w:w="170" w:type="dxa"/>
            </w:tcMar>
            <w:vAlign w:val="center"/>
          </w:tcPr>
          <w:p w14:paraId="7E2968D6" w14:textId="77777777" w:rsidR="00830024" w:rsidRPr="00830024" w:rsidRDefault="00830024" w:rsidP="00830024">
            <w:pPr>
              <w:jc w:val="right"/>
            </w:pPr>
            <w:r w:rsidRPr="00830024">
              <w:t>-</w:t>
            </w:r>
          </w:p>
        </w:tc>
        <w:tc>
          <w:tcPr>
            <w:tcW w:w="850" w:type="dxa"/>
            <w:noWrap/>
            <w:tcMar>
              <w:right w:w="170" w:type="dxa"/>
            </w:tcMar>
            <w:vAlign w:val="center"/>
          </w:tcPr>
          <w:p w14:paraId="15A7C890" w14:textId="77777777" w:rsidR="00830024" w:rsidRPr="00830024" w:rsidRDefault="00830024" w:rsidP="00830024">
            <w:pPr>
              <w:jc w:val="right"/>
            </w:pPr>
            <w:r w:rsidRPr="00830024">
              <w:t>-</w:t>
            </w:r>
          </w:p>
        </w:tc>
        <w:tc>
          <w:tcPr>
            <w:tcW w:w="851" w:type="dxa"/>
            <w:noWrap/>
            <w:tcMar>
              <w:right w:w="170" w:type="dxa"/>
            </w:tcMar>
            <w:vAlign w:val="center"/>
          </w:tcPr>
          <w:p w14:paraId="60C608AA" w14:textId="77777777" w:rsidR="00830024" w:rsidRPr="00830024" w:rsidRDefault="00830024" w:rsidP="00830024">
            <w:pPr>
              <w:jc w:val="right"/>
            </w:pPr>
            <w:r w:rsidRPr="00830024">
              <w:t>-</w:t>
            </w:r>
          </w:p>
        </w:tc>
        <w:tc>
          <w:tcPr>
            <w:tcW w:w="850" w:type="dxa"/>
            <w:noWrap/>
            <w:tcMar>
              <w:right w:w="170" w:type="dxa"/>
            </w:tcMar>
            <w:vAlign w:val="center"/>
          </w:tcPr>
          <w:p w14:paraId="28473F1F" w14:textId="77777777" w:rsidR="00830024" w:rsidRPr="00830024" w:rsidRDefault="00830024" w:rsidP="00830024">
            <w:pPr>
              <w:jc w:val="right"/>
            </w:pPr>
            <w:r w:rsidRPr="00830024">
              <w:t>-</w:t>
            </w:r>
          </w:p>
        </w:tc>
        <w:tc>
          <w:tcPr>
            <w:tcW w:w="1134" w:type="dxa"/>
            <w:noWrap/>
            <w:tcMar>
              <w:right w:w="170" w:type="dxa"/>
            </w:tcMar>
            <w:vAlign w:val="center"/>
          </w:tcPr>
          <w:p w14:paraId="504D482D" w14:textId="77777777" w:rsidR="00830024" w:rsidRPr="00830024" w:rsidRDefault="00830024" w:rsidP="00830024">
            <w:pPr>
              <w:jc w:val="right"/>
              <w:rPr>
                <w:b/>
              </w:rPr>
            </w:pPr>
            <w:r w:rsidRPr="00830024">
              <w:rPr>
                <w:b/>
              </w:rPr>
              <w:t>100</w:t>
            </w:r>
          </w:p>
        </w:tc>
      </w:tr>
    </w:tbl>
    <w:p w14:paraId="2C3EA71F" w14:textId="77777777" w:rsidR="00830024" w:rsidRPr="00830024" w:rsidRDefault="00830024" w:rsidP="00830024">
      <w:pPr>
        <w:rPr>
          <w:i/>
        </w:rPr>
      </w:pPr>
      <w:proofErr w:type="spellStart"/>
      <w:r w:rsidRPr="00830024">
        <w:rPr>
          <w:i/>
        </w:rPr>
        <w:t>Pozn</w:t>
      </w:r>
      <w:proofErr w:type="spellEnd"/>
      <w:r w:rsidRPr="00830024">
        <w:rPr>
          <w:i/>
        </w:rPr>
        <w:t>:</w:t>
      </w:r>
    </w:p>
    <w:p w14:paraId="7A9E0FF3" w14:textId="77777777" w:rsidR="00830024" w:rsidRPr="00830024" w:rsidRDefault="00830024" w:rsidP="00154714">
      <w:pPr>
        <w:ind w:left="708"/>
        <w:rPr>
          <w:i/>
        </w:rPr>
      </w:pPr>
      <w:r w:rsidRPr="00830024">
        <w:rPr>
          <w:i/>
        </w:rPr>
        <w:t>a – 99. percentil (tj. 3-4 dní překročení za rok)</w:t>
      </w:r>
    </w:p>
    <w:p w14:paraId="1CD6C641" w14:textId="77777777" w:rsidR="00830024" w:rsidRPr="00830024" w:rsidRDefault="00830024" w:rsidP="00154714">
      <w:pPr>
        <w:spacing w:line="276" w:lineRule="auto"/>
        <w:ind w:left="708"/>
        <w:jc w:val="both"/>
        <w:rPr>
          <w:i/>
          <w:vertAlign w:val="subscript"/>
        </w:rPr>
      </w:pPr>
      <w:r w:rsidRPr="00830024">
        <w:rPr>
          <w:i/>
        </w:rPr>
        <w:t>b - Průměr z denních maximálních 8hodinových koncentrací O</w:t>
      </w:r>
      <w:r w:rsidRPr="00830024">
        <w:rPr>
          <w:i/>
          <w:vertAlign w:val="subscript"/>
        </w:rPr>
        <w:t>3</w:t>
      </w:r>
      <w:r w:rsidRPr="00830024">
        <w:rPr>
          <w:i/>
        </w:rPr>
        <w:t xml:space="preserve"> za šest po sobě jdoucích měsíců s nejvyšším šestiměsíčním průměrem koncentrace O</w:t>
      </w:r>
      <w:r w:rsidRPr="00830024">
        <w:rPr>
          <w:i/>
          <w:vertAlign w:val="subscript"/>
        </w:rPr>
        <w:t>3</w:t>
      </w:r>
    </w:p>
    <w:p w14:paraId="76807185" w14:textId="0153E4BB" w:rsidR="00830024" w:rsidRPr="00830024" w:rsidRDefault="00830024" w:rsidP="00830024">
      <w:pPr>
        <w:spacing w:before="120" w:line="276" w:lineRule="auto"/>
        <w:jc w:val="both"/>
        <w:rPr>
          <w:sz w:val="22"/>
          <w:szCs w:val="22"/>
        </w:rPr>
      </w:pPr>
      <w:r w:rsidRPr="00830024">
        <w:rPr>
          <w:sz w:val="22"/>
          <w:szCs w:val="22"/>
        </w:rPr>
        <w:lastRenderedPageBreak/>
        <w:t>Vliv znečišťujících látek z ovzduší závisí nejen na jejich schopnosti působit na zdraví, ale také na velikosti expozice, tedy na tom po jakou dobu a jak vysoké koncentraci látek jsou lidé vystaveni. Pro účely narůstajících požadavků na hodnocení zdravotních rizik je proto potřebná interpretace prostorové representativnosti dat získávaných v síti stacionárních měřicích stanic. Využití výsledků prostorově ohraničených staničních měření nebo modelových zpracování zatížených obtížně kvantifikovatelnými nejistotami přináší problémy při odhadu expozice obyvatel znečišťujícím látkám. Jedním z možných východisek je kategorizace měřicích stanic, které lze rozdělit podle intenzity okolní dopravy a podílu dalších typů zdrojů (energetické zdroje, průmysl) znečišťování ovzduší na specifické typy městských lokalit. To umožňuje detailnější popis znečištění ovzduší ve městech</w:t>
      </w:r>
      <w:r w:rsidR="002E3DAB">
        <w:rPr>
          <w:sz w:val="22"/>
          <w:szCs w:val="22"/>
        </w:rPr>
        <w:t>,</w:t>
      </w:r>
      <w:r w:rsidRPr="00830024">
        <w:rPr>
          <w:sz w:val="22"/>
          <w:szCs w:val="22"/>
        </w:rPr>
        <w:t xml:space="preserve"> včetně odhadu střední hodnoty a jejího trendu v</w:t>
      </w:r>
      <w:r w:rsidR="002E3DAB">
        <w:rPr>
          <w:sz w:val="22"/>
          <w:szCs w:val="22"/>
        </w:rPr>
        <w:t> </w:t>
      </w:r>
      <w:r w:rsidRPr="00830024">
        <w:rPr>
          <w:sz w:val="22"/>
          <w:szCs w:val="22"/>
        </w:rPr>
        <w:t>ČR</w:t>
      </w:r>
      <w:r w:rsidR="002E3DAB">
        <w:rPr>
          <w:sz w:val="22"/>
          <w:szCs w:val="22"/>
        </w:rPr>
        <w:t>,</w:t>
      </w:r>
      <w:r w:rsidRPr="00830024">
        <w:rPr>
          <w:sz w:val="22"/>
          <w:szCs w:val="22"/>
        </w:rPr>
        <w:t xml:space="preserve"> a zároveň </w:t>
      </w:r>
      <w:r w:rsidR="009E4A84">
        <w:rPr>
          <w:sz w:val="22"/>
          <w:szCs w:val="22"/>
        </w:rPr>
        <w:br/>
      </w:r>
      <w:r w:rsidRPr="00830024">
        <w:rPr>
          <w:sz w:val="22"/>
          <w:szCs w:val="22"/>
        </w:rPr>
        <w:t xml:space="preserve">i stratifikaci navazujícího hodnocení zdravotních rizik. </w:t>
      </w:r>
    </w:p>
    <w:p w14:paraId="388FE737" w14:textId="746C7F13" w:rsidR="00830024" w:rsidRPr="00830024" w:rsidRDefault="00830024" w:rsidP="00830024">
      <w:pPr>
        <w:spacing w:before="120" w:line="276" w:lineRule="auto"/>
        <w:jc w:val="both"/>
        <w:rPr>
          <w:b/>
          <w:color w:val="FF0000"/>
          <w:sz w:val="22"/>
          <w:szCs w:val="22"/>
        </w:rPr>
      </w:pPr>
      <w:r w:rsidRPr="00830024">
        <w:rPr>
          <w:sz w:val="22"/>
          <w:szCs w:val="22"/>
        </w:rPr>
        <w:t xml:space="preserve">Primární 24hodinová data pro hodnocení kvality ovzduší převzatá převážně z databáze ISKO, byla následně zpracována v databázovém prostředí ISID a doplněna o hodnocení krátkodobých hodnot (hodinový průměr a osmihodinový klouzavý průměr) z tabelární ročenky ČHMÚ za rok 2022. Pro potřeby hodnocení zdravotních rizik byla tato data, pro nemožnost provázání s demografickými údaji, zpracována ve formě </w:t>
      </w:r>
      <w:proofErr w:type="spellStart"/>
      <w:r w:rsidRPr="00830024">
        <w:rPr>
          <w:sz w:val="22"/>
          <w:szCs w:val="22"/>
        </w:rPr>
        <w:t>rozpěťových</w:t>
      </w:r>
      <w:proofErr w:type="spellEnd"/>
      <w:r w:rsidRPr="00830024">
        <w:rPr>
          <w:sz w:val="22"/>
          <w:szCs w:val="22"/>
        </w:rPr>
        <w:t xml:space="preserve"> intervalů. A to pro jednotlivé látky (NO</w:t>
      </w:r>
      <w:r w:rsidRPr="00830024">
        <w:rPr>
          <w:sz w:val="22"/>
          <w:szCs w:val="22"/>
          <w:vertAlign w:val="subscript"/>
        </w:rPr>
        <w:t>2</w:t>
      </w:r>
      <w:r w:rsidRPr="00830024">
        <w:rPr>
          <w:sz w:val="22"/>
          <w:szCs w:val="22"/>
        </w:rPr>
        <w:t>, PM</w:t>
      </w:r>
      <w:r w:rsidRPr="00830024">
        <w:rPr>
          <w:sz w:val="22"/>
          <w:szCs w:val="22"/>
          <w:vertAlign w:val="subscript"/>
        </w:rPr>
        <w:t>10</w:t>
      </w:r>
      <w:r w:rsidRPr="00830024">
        <w:rPr>
          <w:sz w:val="22"/>
          <w:szCs w:val="22"/>
        </w:rPr>
        <w:t>, PM</w:t>
      </w:r>
      <w:r w:rsidRPr="00830024">
        <w:rPr>
          <w:sz w:val="22"/>
          <w:szCs w:val="22"/>
          <w:vertAlign w:val="subscript"/>
        </w:rPr>
        <w:t>2,5</w:t>
      </w:r>
      <w:r w:rsidRPr="00830024">
        <w:rPr>
          <w:sz w:val="22"/>
          <w:szCs w:val="22"/>
        </w:rPr>
        <w:t>, As, Cd, Ni, benzen a BaP) pro celou Českou republiku, pro všechny městské stanice a pro vybrané typy městských lokalit (obytné bez dopravní zátěže, městské s dopravní zátěží a městské s průmyslovou zátěží). Uvedený postup nelze pro nedostatek údajů o kvalitě ovzduší použít pro odhad úrovní zátěže obyvatel malých sídel (&lt; 5 000 obyvatel). Hodnocení sledovaných kovů za rok 2022 je zásadně ovlivněno výpadkem měřicích systémů ICP-MS provozovaných ČHMÚ. U některých stanic jsou tak k dispozici data (</w:t>
      </w:r>
      <w:proofErr w:type="spellStart"/>
      <w:r w:rsidRPr="00830024">
        <w:rPr>
          <w:sz w:val="22"/>
          <w:szCs w:val="22"/>
        </w:rPr>
        <w:t>Cr</w:t>
      </w:r>
      <w:proofErr w:type="spellEnd"/>
      <w:r w:rsidRPr="00830024">
        <w:rPr>
          <w:sz w:val="22"/>
          <w:szCs w:val="22"/>
        </w:rPr>
        <w:t xml:space="preserve">, </w:t>
      </w:r>
      <w:proofErr w:type="spellStart"/>
      <w:r w:rsidRPr="00830024">
        <w:rPr>
          <w:sz w:val="22"/>
          <w:szCs w:val="22"/>
        </w:rPr>
        <w:t>Mn</w:t>
      </w:r>
      <w:proofErr w:type="spellEnd"/>
      <w:r w:rsidRPr="00830024">
        <w:rPr>
          <w:sz w:val="22"/>
          <w:szCs w:val="22"/>
        </w:rPr>
        <w:t xml:space="preserve">, </w:t>
      </w:r>
      <w:proofErr w:type="spellStart"/>
      <w:r w:rsidRPr="00830024">
        <w:rPr>
          <w:sz w:val="22"/>
          <w:szCs w:val="22"/>
        </w:rPr>
        <w:t>Cu</w:t>
      </w:r>
      <w:proofErr w:type="spellEnd"/>
      <w:r w:rsidRPr="00830024">
        <w:rPr>
          <w:sz w:val="22"/>
          <w:szCs w:val="22"/>
        </w:rPr>
        <w:t xml:space="preserve">, </w:t>
      </w:r>
      <w:proofErr w:type="spellStart"/>
      <w:r w:rsidRPr="00830024">
        <w:rPr>
          <w:sz w:val="22"/>
          <w:szCs w:val="22"/>
        </w:rPr>
        <w:t>Zn</w:t>
      </w:r>
      <w:proofErr w:type="spellEnd"/>
      <w:r w:rsidRPr="00830024">
        <w:rPr>
          <w:sz w:val="22"/>
          <w:szCs w:val="22"/>
        </w:rPr>
        <w:t xml:space="preserve">, </w:t>
      </w:r>
      <w:proofErr w:type="spellStart"/>
      <w:r w:rsidRPr="00830024">
        <w:rPr>
          <w:sz w:val="22"/>
          <w:szCs w:val="22"/>
        </w:rPr>
        <w:t>Fe</w:t>
      </w:r>
      <w:proofErr w:type="spellEnd"/>
      <w:r w:rsidRPr="00830024">
        <w:rPr>
          <w:sz w:val="22"/>
          <w:szCs w:val="22"/>
        </w:rPr>
        <w:t xml:space="preserve">, V, Co </w:t>
      </w:r>
      <w:r w:rsidR="009E4A84">
        <w:rPr>
          <w:sz w:val="22"/>
          <w:szCs w:val="22"/>
        </w:rPr>
        <w:br/>
      </w:r>
      <w:r w:rsidRPr="00830024">
        <w:rPr>
          <w:sz w:val="22"/>
          <w:szCs w:val="22"/>
        </w:rPr>
        <w:t>a Se) pouze za první dva kvartály roku 2022. Z celkem 55 stanic, pro které jsou k dispozici alespoň částečná data za rok 2022, má pouze 37 stanic vyhodnotitelná data pro arsen, kadmium,</w:t>
      </w:r>
      <w:r w:rsidR="009E4A84">
        <w:rPr>
          <w:sz w:val="22"/>
          <w:szCs w:val="22"/>
        </w:rPr>
        <w:t xml:space="preserve"> </w:t>
      </w:r>
      <w:r w:rsidRPr="00830024">
        <w:rPr>
          <w:sz w:val="22"/>
          <w:szCs w:val="22"/>
        </w:rPr>
        <w:t>nikl a olovo, a pouze 21 stanic vyhodnotitelná data pro chr</w:t>
      </w:r>
      <w:r w:rsidR="002E3DAB">
        <w:rPr>
          <w:sz w:val="22"/>
          <w:szCs w:val="22"/>
        </w:rPr>
        <w:t>o</w:t>
      </w:r>
      <w:r w:rsidRPr="00830024">
        <w:rPr>
          <w:sz w:val="22"/>
          <w:szCs w:val="22"/>
        </w:rPr>
        <w:t>m a mangan.</w:t>
      </w:r>
    </w:p>
    <w:p w14:paraId="03A5F20A" w14:textId="77777777" w:rsidR="00830024" w:rsidRPr="00AC367A" w:rsidRDefault="00830024" w:rsidP="00830024">
      <w:pPr>
        <w:pStyle w:val="Nadpis2"/>
        <w:rPr>
          <w:rFonts w:ascii="Times New Roman" w:hAnsi="Times New Roman"/>
          <w:sz w:val="28"/>
          <w:szCs w:val="28"/>
        </w:rPr>
      </w:pPr>
      <w:bookmarkStart w:id="2" w:name="_Toc170269969"/>
    </w:p>
    <w:p w14:paraId="104320EF" w14:textId="77777777" w:rsidR="00830024" w:rsidRPr="00830024" w:rsidRDefault="00830024" w:rsidP="00830024">
      <w:pPr>
        <w:pStyle w:val="Nadpis2"/>
        <w:keepLines w:val="0"/>
        <w:numPr>
          <w:ilvl w:val="0"/>
          <w:numId w:val="13"/>
        </w:numPr>
        <w:autoSpaceDE/>
        <w:autoSpaceDN/>
        <w:adjustRightInd/>
        <w:spacing w:before="0" w:line="240" w:lineRule="auto"/>
        <w:textAlignment w:val="auto"/>
        <w:rPr>
          <w:sz w:val="28"/>
          <w:szCs w:val="28"/>
        </w:rPr>
      </w:pPr>
      <w:r w:rsidRPr="00830024">
        <w:rPr>
          <w:sz w:val="28"/>
          <w:szCs w:val="28"/>
        </w:rPr>
        <w:t>Odhad zdravotních rizik</w:t>
      </w:r>
      <w:bookmarkEnd w:id="2"/>
    </w:p>
    <w:p w14:paraId="7A53263F" w14:textId="77777777" w:rsidR="00830024" w:rsidRPr="00830024" w:rsidRDefault="00830024" w:rsidP="00830024">
      <w:pPr>
        <w:pStyle w:val="Zkladntext"/>
        <w:spacing w:before="120" w:line="276" w:lineRule="auto"/>
        <w:jc w:val="both"/>
        <w:rPr>
          <w:rFonts w:ascii="Mulish" w:hAnsi="Mulish"/>
          <w:sz w:val="22"/>
          <w:szCs w:val="22"/>
          <w14:shadow w14:blurRad="0" w14:dist="0" w14:dir="0" w14:sx="0" w14:sy="0" w14:kx="0" w14:ky="0" w14:algn="none">
            <w14:srgbClr w14:val="000000"/>
          </w14:shadow>
        </w:rPr>
      </w:pPr>
      <w:r w:rsidRPr="00830024">
        <w:rPr>
          <w:rFonts w:ascii="Mulish" w:hAnsi="Mulish"/>
          <w:sz w:val="22"/>
          <w:szCs w:val="22"/>
          <w14:shadow w14:blurRad="0" w14:dist="0" w14:dir="0" w14:sx="0" w14:sy="0" w14:kx="0" w14:ky="0" w14:algn="none">
            <w14:srgbClr w14:val="000000"/>
          </w14:shadow>
        </w:rPr>
        <w:t xml:space="preserve">Základní metodické postupy odhadu zdravotních rizik byly zpracovány zejména Americkou agenturou pro ochranu životního prostředí (US EPA) a Světovou zdravotní organizací (WHO). V České republice byly základní metodické podklady pro hodnocení zdravotních rizik vydány Ministerstvem zdravotnictví a Ministerstvem životního prostředí. </w:t>
      </w:r>
    </w:p>
    <w:p w14:paraId="62EF2C48" w14:textId="3989BEE1" w:rsidR="00830024" w:rsidRPr="00830024" w:rsidRDefault="00830024" w:rsidP="00830024">
      <w:pPr>
        <w:pStyle w:val="Zkladntext"/>
        <w:spacing w:before="120" w:line="276" w:lineRule="auto"/>
        <w:jc w:val="both"/>
        <w:rPr>
          <w:rFonts w:ascii="Mulish" w:hAnsi="Mulish"/>
          <w:noProof w:val="0"/>
          <w:sz w:val="22"/>
          <w:szCs w:val="22"/>
          <w14:shadow w14:blurRad="0" w14:dist="0" w14:dir="0" w14:sx="0" w14:sy="0" w14:kx="0" w14:ky="0" w14:algn="none">
            <w14:srgbClr w14:val="000000"/>
          </w14:shadow>
        </w:rPr>
      </w:pPr>
      <w:r w:rsidRPr="00202685">
        <w:rPr>
          <w:rFonts w:ascii="Mulish" w:hAnsi="Mulish"/>
          <w:b/>
          <w:sz w:val="22"/>
          <w:szCs w:val="22"/>
          <w14:shadow w14:blurRad="0" w14:dist="0" w14:dir="0" w14:sx="0" w14:sy="0" w14:kx="0" w14:ky="0" w14:algn="none">
            <w14:srgbClr w14:val="000000"/>
          </w14:shadow>
        </w:rPr>
        <w:t xml:space="preserve">Zdravotní riziko vyjadřuje pravděpodobnost změny zdravotního stavu exponovaných osob. </w:t>
      </w:r>
      <w:r w:rsidRPr="00202685">
        <w:rPr>
          <w:rFonts w:ascii="Mulish" w:hAnsi="Mulish"/>
          <w:b/>
          <w:sz w:val="22"/>
          <w:szCs w:val="22"/>
          <w14:shadow w14:blurRad="0" w14:dist="0" w14:dir="0" w14:sx="0" w14:sy="0" w14:kx="0" w14:ky="0" w14:algn="none">
            <w14:srgbClr w14:val="000000"/>
          </w14:shadow>
        </w:rPr>
        <w:br/>
      </w:r>
      <w:r w:rsidRPr="00830024">
        <w:rPr>
          <w:rFonts w:ascii="Mulish" w:hAnsi="Mulish"/>
          <w:sz w:val="22"/>
          <w:szCs w:val="22"/>
          <w14:shadow w14:blurRad="0" w14:dist="0" w14:dir="0" w14:sx="0" w14:sy="0" w14:kx="0" w14:ky="0" w14:algn="none">
            <w14:srgbClr w14:val="000000"/>
          </w14:shadow>
        </w:rPr>
        <w:t xml:space="preserve">Při hodnocení zdravotních rizik se standardně postupuje ve čtyřech následných krocích. Nejprve je identifikována </w:t>
      </w:r>
      <w:r w:rsidRPr="00830024">
        <w:rPr>
          <w:rFonts w:ascii="Mulish" w:hAnsi="Mulish"/>
          <w:b/>
          <w:sz w:val="22"/>
          <w:szCs w:val="22"/>
          <w14:shadow w14:blurRad="0" w14:dist="0" w14:dir="0" w14:sx="0" w14:sy="0" w14:kx="0" w14:ky="0" w14:algn="none">
            <w14:srgbClr w14:val="000000"/>
          </w14:shadow>
        </w:rPr>
        <w:t>zdravotní nebezpečnost</w:t>
      </w:r>
      <w:r w:rsidRPr="00830024">
        <w:rPr>
          <w:rFonts w:ascii="Mulish" w:hAnsi="Mulish"/>
          <w:sz w:val="22"/>
          <w:szCs w:val="22"/>
          <w14:shadow w14:blurRad="0" w14:dist="0" w14:dir="0" w14:sx="0" w14:sy="0" w14:kx="0" w14:ky="0" w14:algn="none">
            <w14:srgbClr w14:val="000000"/>
          </w14:shadow>
        </w:rPr>
        <w:t xml:space="preserve">, tedy to, zda je sledovaná látka, faktor nebo komplexní směs schopná vyvolat nežádoucí zdravotní účinek. Následuje odhad </w:t>
      </w:r>
      <w:r w:rsidRPr="007157F4">
        <w:rPr>
          <w:rFonts w:ascii="Mulish" w:hAnsi="Mulish"/>
          <w:b/>
          <w:sz w:val="22"/>
          <w:szCs w:val="22"/>
          <w14:shadow w14:blurRad="0" w14:dist="0" w14:dir="0" w14:sx="0" w14:sy="0" w14:kx="0" w14:ky="0" w14:algn="none">
            <w14:srgbClr w14:val="000000"/>
          </w14:shadow>
        </w:rPr>
        <w:t>d</w:t>
      </w:r>
      <w:r w:rsidRPr="00830024">
        <w:rPr>
          <w:rFonts w:ascii="Mulish" w:hAnsi="Mulish"/>
          <w:b/>
          <w:sz w:val="22"/>
          <w:szCs w:val="22"/>
          <w14:shadow w14:blurRad="0" w14:dist="0" w14:dir="0" w14:sx="0" w14:sy="0" w14:kx="0" w14:ky="0" w14:algn="none">
            <w14:srgbClr w14:val="000000"/>
          </w14:shadow>
        </w:rPr>
        <w:t>ávkové závislosti</w:t>
      </w:r>
      <w:r w:rsidRPr="00830024">
        <w:rPr>
          <w:rFonts w:ascii="Mulish" w:hAnsi="Mulish"/>
          <w:sz w:val="22"/>
          <w:szCs w:val="22"/>
          <w14:shadow w14:blurRad="0" w14:dist="0" w14:dir="0" w14:sx="0" w14:sy="0" w14:kx="0" w14:ky="0" w14:algn="none">
            <w14:srgbClr w14:val="000000"/>
          </w14:shadow>
        </w:rPr>
        <w:t xml:space="preserve"> tohoto efektu, tedy jak se intenzita, frekvence nebo pravděpodobnost nežádoucích účinků mění </w:t>
      </w:r>
      <w:r w:rsidRPr="00830024">
        <w:rPr>
          <w:rFonts w:ascii="Mulish" w:hAnsi="Mulish"/>
          <w:sz w:val="22"/>
          <w:szCs w:val="22"/>
          <w14:shadow w14:blurRad="0" w14:dist="0" w14:dir="0" w14:sx="0" w14:sy="0" w14:kx="0" w14:ky="0" w14:algn="none">
            <w14:srgbClr w14:val="000000"/>
          </w14:shadow>
        </w:rPr>
        <w:lastRenderedPageBreak/>
        <w:t xml:space="preserve">s dávkou. Třetím a často nejsložitějším krokem v odhadu rizika je </w:t>
      </w:r>
      <w:r w:rsidRPr="00830024">
        <w:rPr>
          <w:rFonts w:ascii="Mulish" w:hAnsi="Mulish"/>
          <w:b/>
          <w:sz w:val="22"/>
          <w:szCs w:val="22"/>
          <w14:shadow w14:blurRad="0" w14:dist="0" w14:dir="0" w14:sx="0" w14:sy="0" w14:kx="0" w14:ky="0" w14:algn="none">
            <w14:srgbClr w14:val="000000"/>
          </w14:shadow>
        </w:rPr>
        <w:t xml:space="preserve">odhad </w:t>
      </w:r>
      <w:r w:rsidRPr="00830024">
        <w:rPr>
          <w:rFonts w:ascii="Mulish" w:hAnsi="Mulish"/>
          <w:b/>
          <w:noProof w:val="0"/>
          <w:sz w:val="22"/>
          <w:szCs w:val="22"/>
          <w14:shadow w14:blurRad="0" w14:dist="0" w14:dir="0" w14:sx="0" w14:sy="0" w14:kx="0" w14:ky="0" w14:algn="none">
            <w14:srgbClr w14:val="000000"/>
          </w14:shadow>
        </w:rPr>
        <w:t>expozice</w:t>
      </w:r>
      <w:r w:rsidRPr="00830024">
        <w:rPr>
          <w:rFonts w:ascii="Mulish" w:hAnsi="Mulish"/>
          <w:noProof w:val="0"/>
          <w:sz w:val="22"/>
          <w:szCs w:val="22"/>
          <w14:shadow w14:blurRad="0" w14:dist="0" w14:dir="0" w14:sx="0" w14:sy="0" w14:kx="0" w14:ky="0" w14:algn="none">
            <w14:srgbClr w14:val="000000"/>
          </w14:shadow>
        </w:rPr>
        <w:t xml:space="preserve">, to znamená, zda a do jaké míry je populace vystavena působení sledované látky či faktoru v daném prostředí. Na základě znalosti situace se při něm sestavuje expoziční scénář, tedy představa, jakými cestami a v jaké intenzitě a množství je konkrétní populace exponována dané látce a jaká je její dávka. Konečným krokem v odhadu rizika je </w:t>
      </w:r>
      <w:r w:rsidRPr="00830024">
        <w:rPr>
          <w:rFonts w:ascii="Mulish" w:hAnsi="Mulish"/>
          <w:b/>
          <w:noProof w:val="0"/>
          <w:sz w:val="22"/>
          <w:szCs w:val="22"/>
          <w14:shadow w14:blurRad="0" w14:dist="0" w14:dir="0" w14:sx="0" w14:sy="0" w14:kx="0" w14:ky="0" w14:algn="none">
            <w14:srgbClr w14:val="000000"/>
          </w14:shadow>
        </w:rPr>
        <w:t>charakterizace rizika</w:t>
      </w:r>
      <w:r w:rsidRPr="00830024">
        <w:rPr>
          <w:rFonts w:ascii="Mulish" w:hAnsi="Mulish"/>
          <w:noProof w:val="0"/>
          <w:sz w:val="22"/>
          <w:szCs w:val="22"/>
          <w14:shadow w14:blurRad="0" w14:dist="0" w14:dir="0" w14:sx="0" w14:sy="0" w14:kx="0" w14:ky="0" w14:algn="none">
            <w14:srgbClr w14:val="000000"/>
          </w14:shadow>
        </w:rPr>
        <w:t>. Znamená integraci poznatků vyplývajících ze všech výše zmíněných kroků, včetně zvážení všech nejistot, závažnosti i slabých stránek použitých podkladových materiálů. Cílem je dospět, pokud to dostupné informace umožňují, ke kvantitativnímu vyjádření míry konkrétního zdravotního rizika za dané situace. Tento postup, který bývá nejčastěji aplikován pro určitou konkrétní lokalitu a problém, byl použit pro následující hodnocení venkovního ovzduší v rámci dostupných podkladů pro Českou republiku. Výsledkem je</w:t>
      </w:r>
      <w:r w:rsidRPr="00830024">
        <w:rPr>
          <w:rFonts w:ascii="Mulish" w:hAnsi="Mulish"/>
          <w:b/>
          <w:noProof w:val="0"/>
          <w:sz w:val="22"/>
          <w:szCs w:val="22"/>
          <w14:shadow w14:blurRad="0" w14:dist="0" w14:dir="0" w14:sx="0" w14:sy="0" w14:kx="0" w14:ky="0" w14:algn="none">
            <w14:srgbClr w14:val="000000"/>
          </w14:shadow>
        </w:rPr>
        <w:t xml:space="preserve"> hodnocení platné pouze pro území měst</w:t>
      </w:r>
      <w:r w:rsidRPr="00830024">
        <w:rPr>
          <w:rFonts w:ascii="Mulish" w:hAnsi="Mulish"/>
          <w:noProof w:val="0"/>
          <w:sz w:val="22"/>
          <w:szCs w:val="22"/>
          <w14:shadow w14:blurRad="0" w14:dist="0" w14:dir="0" w14:sx="0" w14:sy="0" w14:kx="0" w14:ky="0" w14:algn="none">
            <w14:srgbClr w14:val="000000"/>
          </w14:shadow>
        </w:rPr>
        <w:t xml:space="preserve">, protože pro hodnocení venkovských sídel nejsou k dispozici dostačující informace. Na druhou stranu by mělo variabilitu situace v těchto malých sídlech zahrnovat stanovené </w:t>
      </w:r>
      <w:r w:rsidRPr="00830024">
        <w:rPr>
          <w:rFonts w:ascii="Mulish" w:hAnsi="Mulish"/>
          <w:b/>
          <w:noProof w:val="0"/>
          <w:sz w:val="22"/>
          <w:szCs w:val="22"/>
          <w14:shadow w14:blurRad="0" w14:dist="0" w14:dir="0" w14:sx="0" w14:sy="0" w14:kx="0" w14:ky="0" w14:algn="none">
            <w14:srgbClr w14:val="000000"/>
          </w14:shadow>
        </w:rPr>
        <w:t xml:space="preserve">rozpětí koncentrací a z nich odvozených rizik pro Českou republiku. </w:t>
      </w:r>
      <w:r w:rsidRPr="00830024">
        <w:rPr>
          <w:rFonts w:ascii="Mulish" w:hAnsi="Mulish"/>
          <w:noProof w:val="0"/>
          <w:sz w:val="22"/>
          <w:szCs w:val="22"/>
          <w14:shadow w14:blurRad="0" w14:dist="0" w14:dir="0" w14:sx="0" w14:sy="0" w14:kx="0" w14:ky="0" w14:algn="none">
            <w14:srgbClr w14:val="000000"/>
          </w14:shadow>
        </w:rPr>
        <w:t xml:space="preserve">Pro kvantifikaci/odhad potenciálních zdravotních účinků </w:t>
      </w:r>
      <w:r w:rsidR="00F37CA6">
        <w:rPr>
          <w:rFonts w:ascii="Mulish" w:hAnsi="Mulish"/>
          <w:noProof w:val="0"/>
          <w:sz w:val="22"/>
          <w:szCs w:val="22"/>
          <w14:shadow w14:blurRad="0" w14:dist="0" w14:dir="0" w14:sx="0" w14:sy="0" w14:kx="0" w14:ky="0" w14:algn="none">
            <w14:srgbClr w14:val="000000"/>
          </w14:shadow>
        </w:rPr>
        <w:br/>
      </w:r>
      <w:r w:rsidRPr="00830024">
        <w:rPr>
          <w:rFonts w:ascii="Mulish" w:hAnsi="Mulish"/>
          <w:noProof w:val="0"/>
          <w:sz w:val="22"/>
          <w:szCs w:val="22"/>
          <w14:shadow w14:blurRad="0" w14:dist="0" w14:dir="0" w14:sx="0" w14:sy="0" w14:kx="0" w14:ky="0" w14:algn="none">
            <w14:srgbClr w14:val="000000"/>
          </w14:shadow>
        </w:rPr>
        <w:t>u suspendovaných částic, ozónu či oxidu dusičitého ale stále platí, že pandemie Covid-19 i v roce 2022 ovlivnila celkovou úmrtnost (&gt; 5 % nárůst proti roku 2019) v České republice. Bohužel nejsou k dispozici takové podklady, které by umožnily kvantifikovat podíl způsobený přímo pandemií, tj. nelze očistit data o celkové úmrtnosti od komplexního vlivu pandemie tak, aby odhad předčasné úmrtnosti (počet osob) byl konzistentní s předchozími roky.</w:t>
      </w:r>
    </w:p>
    <w:p w14:paraId="0C82A77E" w14:textId="77777777" w:rsidR="00830024" w:rsidRPr="00290CB0" w:rsidRDefault="00830024" w:rsidP="00830024">
      <w:pPr>
        <w:pStyle w:val="Zkladntext"/>
        <w:spacing w:before="120"/>
        <w:jc w:val="both"/>
        <w:rPr>
          <w:rFonts w:ascii="Times New Roman" w:hAnsi="Times New Roman"/>
          <w:b/>
          <w:noProof w:val="0"/>
          <w:sz w:val="24"/>
          <w14:shadow w14:blurRad="0" w14:dist="0" w14:dir="0" w14:sx="0" w14:sy="0" w14:kx="0" w14:ky="0" w14:algn="none">
            <w14:srgbClr w14:val="000000"/>
          </w14:shadow>
        </w:rPr>
      </w:pPr>
    </w:p>
    <w:p w14:paraId="05EEB3BF" w14:textId="77777777" w:rsidR="00552610" w:rsidRPr="0079316B" w:rsidRDefault="00552610" w:rsidP="00552610">
      <w:pPr>
        <w:pStyle w:val="Nadpis2"/>
        <w:keepLines w:val="0"/>
        <w:numPr>
          <w:ilvl w:val="0"/>
          <w:numId w:val="13"/>
        </w:numPr>
        <w:autoSpaceDE/>
        <w:autoSpaceDN/>
        <w:adjustRightInd/>
        <w:spacing w:before="0" w:line="240" w:lineRule="auto"/>
        <w:textAlignment w:val="auto"/>
        <w:rPr>
          <w:sz w:val="28"/>
          <w:szCs w:val="28"/>
        </w:rPr>
      </w:pPr>
      <w:bookmarkStart w:id="3" w:name="_Toc89500100"/>
      <w:r w:rsidRPr="0079316B">
        <w:rPr>
          <w:sz w:val="28"/>
          <w:szCs w:val="28"/>
        </w:rPr>
        <w:t>Expozice</w:t>
      </w:r>
    </w:p>
    <w:p w14:paraId="317266E7" w14:textId="77777777" w:rsidR="00552610" w:rsidRPr="00D66167" w:rsidRDefault="00552610" w:rsidP="00552610">
      <w:pPr>
        <w:spacing w:before="120" w:line="276" w:lineRule="auto"/>
        <w:jc w:val="both"/>
        <w:rPr>
          <w:sz w:val="22"/>
          <w:szCs w:val="22"/>
        </w:rPr>
      </w:pPr>
      <w:r w:rsidRPr="00D66167">
        <w:rPr>
          <w:sz w:val="22"/>
          <w:szCs w:val="22"/>
        </w:rPr>
        <w:t>Pro odhad expozice byl použit přístup, který uvažuje celoživotní expozici 24 hodin denně pro dospělého člověka o hmotnosti 70 kg, který vdechne 20 m</w:t>
      </w:r>
      <w:r w:rsidRPr="00D66167">
        <w:rPr>
          <w:sz w:val="22"/>
          <w:szCs w:val="22"/>
          <w:vertAlign w:val="superscript"/>
        </w:rPr>
        <w:t>3</w:t>
      </w:r>
      <w:r w:rsidRPr="00D66167">
        <w:rPr>
          <w:sz w:val="22"/>
          <w:szCs w:val="22"/>
        </w:rPr>
        <w:t xml:space="preserve"> vzduchu za den. Jde </w:t>
      </w:r>
      <w:r w:rsidRPr="00D66167">
        <w:rPr>
          <w:sz w:val="22"/>
          <w:szCs w:val="22"/>
        </w:rPr>
        <w:br/>
        <w:t xml:space="preserve">o screeningový přístup odpovídající hodnocení populace v obecné rovině. Hodnocení městské populace (města &gt; 5 000 obyvatel) zahrnuje zhruba polovinu obyvatel ČR, tedy cca 5 mil. </w:t>
      </w:r>
    </w:p>
    <w:p w14:paraId="08214F95" w14:textId="77777777" w:rsidR="00830024" w:rsidRPr="00FC4B98" w:rsidRDefault="00830024" w:rsidP="00830024">
      <w:pPr>
        <w:pStyle w:val="DefaultText1"/>
        <w:jc w:val="both"/>
        <w:rPr>
          <w:b/>
          <w:bCs/>
          <w:color w:val="000000" w:themeColor="text1"/>
        </w:rPr>
      </w:pPr>
    </w:p>
    <w:p w14:paraId="04EEEC54" w14:textId="77777777" w:rsidR="00552610" w:rsidRPr="00830024" w:rsidRDefault="00552610" w:rsidP="00552610">
      <w:pPr>
        <w:pStyle w:val="Nadpis2"/>
        <w:keepLines w:val="0"/>
        <w:numPr>
          <w:ilvl w:val="0"/>
          <w:numId w:val="13"/>
        </w:numPr>
        <w:autoSpaceDE/>
        <w:autoSpaceDN/>
        <w:adjustRightInd/>
        <w:spacing w:before="0" w:line="240" w:lineRule="auto"/>
        <w:textAlignment w:val="auto"/>
        <w:rPr>
          <w:sz w:val="28"/>
          <w:szCs w:val="28"/>
        </w:rPr>
      </w:pPr>
      <w:r w:rsidRPr="00830024">
        <w:rPr>
          <w:sz w:val="28"/>
          <w:szCs w:val="28"/>
        </w:rPr>
        <w:t>Hodnocen</w:t>
      </w:r>
      <w:r>
        <w:rPr>
          <w:sz w:val="28"/>
          <w:szCs w:val="28"/>
        </w:rPr>
        <w:t>í zdravotních rizik</w:t>
      </w:r>
    </w:p>
    <w:p w14:paraId="5CECF9B4" w14:textId="4C94F287" w:rsidR="00552610" w:rsidRPr="00830024" w:rsidRDefault="00552610" w:rsidP="00552610">
      <w:pPr>
        <w:spacing w:before="120" w:after="120" w:line="276" w:lineRule="auto"/>
        <w:jc w:val="both"/>
        <w:rPr>
          <w:sz w:val="22"/>
          <w:szCs w:val="22"/>
        </w:rPr>
      </w:pPr>
      <w:r w:rsidRPr="00830024">
        <w:rPr>
          <w:sz w:val="22"/>
          <w:szCs w:val="22"/>
        </w:rPr>
        <w:t xml:space="preserve">Kvalita ovzduší v monitorovaných sídlech je dlouhodobě významně ovlivňována meteorologickými podmínkami. Ty lze charakterizovat vyšší četností excesů a rychlých změn počasí zahrnujících dlouhodobější suchá období vysokých teplot či období intenzivních srážek. Zimní období (topné sezóny) 2013 – 2022 lze v kontextu dlouhodobého vývoje považovat za velmi mírná. Znečištění ovzduší měst a městských aglomerací ovlivňuje zejména doprava, která je zde dominantním a v podstatě plošně působícím zdrojem znečištění ovzduší. Další spolupůsobící zdroje (teplárny, domácí vytápění, malé a střední průmyslové podniky) mají více lokální význam. Specifickou oblastí ČR zůstává Moravskoslezský kraj (MSK) s dlouhodobě </w:t>
      </w:r>
      <w:r w:rsidRPr="00830024">
        <w:rPr>
          <w:sz w:val="22"/>
          <w:szCs w:val="22"/>
        </w:rPr>
        <w:lastRenderedPageBreak/>
        <w:t xml:space="preserve">zvýšenými hodnotami některých škodlivin ve venkovním ovzduší. Zde mají </w:t>
      </w:r>
      <w:r w:rsidR="00202685">
        <w:rPr>
          <w:sz w:val="22"/>
          <w:szCs w:val="22"/>
        </w:rPr>
        <w:t xml:space="preserve">mimo jiné </w:t>
      </w:r>
      <w:r w:rsidRPr="00830024">
        <w:rPr>
          <w:sz w:val="22"/>
          <w:szCs w:val="22"/>
        </w:rPr>
        <w:t>zásadní význam emise z velkých průmyslových zdrojů a dálkový transport škodlivin.</w:t>
      </w:r>
    </w:p>
    <w:p w14:paraId="0A344829" w14:textId="4763E3B0" w:rsidR="00552610" w:rsidRPr="00830024" w:rsidRDefault="00552610" w:rsidP="00552610">
      <w:pPr>
        <w:spacing w:before="120" w:after="120" w:line="276" w:lineRule="auto"/>
        <w:jc w:val="both"/>
        <w:rPr>
          <w:sz w:val="22"/>
          <w:szCs w:val="22"/>
        </w:rPr>
      </w:pPr>
      <w:r w:rsidRPr="00830024">
        <w:rPr>
          <w:sz w:val="22"/>
          <w:szCs w:val="22"/>
        </w:rPr>
        <w:t xml:space="preserve">Rok 2022 byl z hlediska kvality ovzduší příznivý, podobně jako předešlé roky 2020 a 2021. Koncentrace hodnocených znečišťujících látek, vyjma přízemního ozonu, dosáhly v roce 2022 </w:t>
      </w:r>
      <w:r>
        <w:rPr>
          <w:sz w:val="22"/>
          <w:szCs w:val="22"/>
        </w:rPr>
        <w:br/>
      </w:r>
      <w:r w:rsidRPr="00830024">
        <w:rPr>
          <w:sz w:val="22"/>
          <w:szCs w:val="22"/>
        </w:rPr>
        <w:t>v rámci hodnoceného období 2012–2022 druhých nejnižších hodnot (v případě oxidu uhelnatého nejnižších hodnot). Koncentrace hodnocených látek znečišťujících ovzduší, s výjimkou přízemního ozonu, za období 2012–2022 významně klesly.</w:t>
      </w:r>
      <w:r w:rsidRPr="00830024">
        <w:rPr>
          <w:color w:val="FF0000"/>
          <w:sz w:val="22"/>
          <w:szCs w:val="22"/>
        </w:rPr>
        <w:t xml:space="preserve">  </w:t>
      </w:r>
      <w:r w:rsidRPr="00830024">
        <w:rPr>
          <w:sz w:val="22"/>
          <w:szCs w:val="22"/>
        </w:rPr>
        <w:t>Měřené hodnoty byly v roce 2022, tak jako již několik let, významně ovlivňovány aktuálními mikroklimatickými podmínkami. Platí to zejména v případě aerosolových částic, PAU a oxidů dusíku. Významná jsou zvláště dlouhodobější letní období sucha. Předběžná zpráva ČHMÚ s hodnocením kvality ovzduší za rok 2022 hodnotila tento rok z hlediska kvality ovzduší jako příznivý. Nicméně uvádí, že v závěru roku se kvalita ovzduší v porovnání s předchozími roky zhoršila na většině stanic. (zdroj Tisková zpráva ČHMÚ, leden 2023)</w:t>
      </w:r>
      <w:r>
        <w:rPr>
          <w:sz w:val="22"/>
          <w:szCs w:val="22"/>
        </w:rPr>
        <w:t xml:space="preserve">. </w:t>
      </w:r>
      <w:r w:rsidRPr="00830024">
        <w:rPr>
          <w:sz w:val="22"/>
          <w:szCs w:val="22"/>
        </w:rPr>
        <w:t xml:space="preserve">Samostatnou kapitolu pak v roce 2022 představují období první poloviny roku tj. doznívání pandemie Covid-19 a začátek energetické krize doprovázený </w:t>
      </w:r>
      <w:r w:rsidR="00471D7C">
        <w:rPr>
          <w:sz w:val="22"/>
          <w:szCs w:val="22"/>
        </w:rPr>
        <w:br/>
      </w:r>
      <w:r w:rsidRPr="00830024">
        <w:rPr>
          <w:sz w:val="22"/>
          <w:szCs w:val="22"/>
        </w:rPr>
        <w:t xml:space="preserve">vyššími emisemi z lokálního vytápění domácností. </w:t>
      </w:r>
    </w:p>
    <w:p w14:paraId="437D9FC2" w14:textId="77777777" w:rsidR="00552610" w:rsidRPr="00830024" w:rsidRDefault="00552610" w:rsidP="00552610">
      <w:pPr>
        <w:spacing w:before="120" w:after="120" w:line="276" w:lineRule="auto"/>
        <w:jc w:val="both"/>
        <w:rPr>
          <w:sz w:val="22"/>
          <w:szCs w:val="22"/>
        </w:rPr>
      </w:pPr>
    </w:p>
    <w:p w14:paraId="3F0423A8" w14:textId="77FFA3C1" w:rsidR="00552610" w:rsidRPr="0079316B" w:rsidRDefault="00552610" w:rsidP="00552610">
      <w:pPr>
        <w:pStyle w:val="Nadpis2"/>
        <w:keepLines w:val="0"/>
        <w:numPr>
          <w:ilvl w:val="0"/>
          <w:numId w:val="13"/>
        </w:numPr>
        <w:autoSpaceDE/>
        <w:autoSpaceDN/>
        <w:adjustRightInd/>
        <w:spacing w:before="0" w:line="240" w:lineRule="auto"/>
        <w:textAlignment w:val="auto"/>
        <w:rPr>
          <w:sz w:val="28"/>
          <w:szCs w:val="28"/>
        </w:rPr>
      </w:pPr>
      <w:r w:rsidRPr="0079316B">
        <w:rPr>
          <w:sz w:val="28"/>
          <w:szCs w:val="28"/>
        </w:rPr>
        <w:t>Charakterizace rizik</w:t>
      </w:r>
    </w:p>
    <w:p w14:paraId="1CD8AC31" w14:textId="77777777" w:rsidR="00552610" w:rsidRPr="001507B2" w:rsidRDefault="00552610" w:rsidP="00552610">
      <w:pPr>
        <w:spacing w:before="120" w:after="120" w:line="276" w:lineRule="auto"/>
        <w:jc w:val="both"/>
        <w:rPr>
          <w:color w:val="auto"/>
          <w:sz w:val="22"/>
          <w:szCs w:val="22"/>
        </w:rPr>
      </w:pPr>
      <w:r w:rsidRPr="001507B2">
        <w:rPr>
          <w:color w:val="auto"/>
          <w:sz w:val="22"/>
          <w:szCs w:val="22"/>
        </w:rPr>
        <w:t xml:space="preserve">V zásadě se při hodnocení rizik rozlišují dva typy účinků chemických látek. U látek, které nejsou podezřelé z účasti na karcinogenním působení se předpokládá tzv. </w:t>
      </w:r>
      <w:r w:rsidRPr="001507B2">
        <w:rPr>
          <w:b/>
          <w:color w:val="auto"/>
          <w:sz w:val="22"/>
          <w:szCs w:val="22"/>
        </w:rPr>
        <w:t>prahový účinek</w:t>
      </w:r>
      <w:r w:rsidRPr="001507B2">
        <w:rPr>
          <w:color w:val="auto"/>
          <w:sz w:val="22"/>
          <w:szCs w:val="22"/>
        </w:rPr>
        <w:t xml:space="preserve">. Toxické účinky těchto látek se projeví až po překročení kapacity fyziologických detoxikačních </w:t>
      </w:r>
      <w:r>
        <w:rPr>
          <w:color w:val="auto"/>
          <w:sz w:val="22"/>
          <w:szCs w:val="22"/>
        </w:rPr>
        <w:br/>
      </w:r>
      <w:r w:rsidRPr="001507B2">
        <w:rPr>
          <w:color w:val="auto"/>
          <w:sz w:val="22"/>
          <w:szCs w:val="22"/>
        </w:rPr>
        <w:t>a reparačních obranných mechanismů organismu. Lze tedy identifikovat dávku škodlivé látky, která je pro organismus člověka ještě bezpečná a za normálních okolností nevyvolá nepříznivý efekt.</w:t>
      </w:r>
    </w:p>
    <w:p w14:paraId="3F528434" w14:textId="71AE88DA" w:rsidR="00552610" w:rsidRPr="001507B2" w:rsidRDefault="00552610" w:rsidP="00552610">
      <w:pPr>
        <w:spacing w:before="120" w:line="276" w:lineRule="auto"/>
        <w:jc w:val="both"/>
        <w:rPr>
          <w:color w:val="auto"/>
          <w:sz w:val="22"/>
          <w:szCs w:val="22"/>
        </w:rPr>
      </w:pPr>
      <w:r w:rsidRPr="001507B2">
        <w:rPr>
          <w:color w:val="auto"/>
          <w:sz w:val="22"/>
          <w:szCs w:val="22"/>
        </w:rPr>
        <w:t>Ke kvantitativnímu vyjádření míry zdravotního rizika toxického nekarcinogenního účinku škodlivin je možno použít k</w:t>
      </w:r>
      <w:r w:rsidR="00C655C1">
        <w:rPr>
          <w:color w:val="auto"/>
          <w:sz w:val="22"/>
          <w:szCs w:val="22"/>
        </w:rPr>
        <w:t>v</w:t>
      </w:r>
      <w:r w:rsidRPr="001507B2">
        <w:rPr>
          <w:color w:val="auto"/>
          <w:sz w:val="22"/>
          <w:szCs w:val="22"/>
        </w:rPr>
        <w:t xml:space="preserve">ocient nebezpečnosti HQ (Hazard </w:t>
      </w:r>
      <w:proofErr w:type="spellStart"/>
      <w:r w:rsidRPr="001507B2">
        <w:rPr>
          <w:color w:val="auto"/>
          <w:sz w:val="22"/>
          <w:szCs w:val="22"/>
        </w:rPr>
        <w:t>Quotient</w:t>
      </w:r>
      <w:proofErr w:type="spellEnd"/>
      <w:r w:rsidRPr="001507B2">
        <w:rPr>
          <w:color w:val="auto"/>
          <w:sz w:val="22"/>
          <w:szCs w:val="22"/>
        </w:rPr>
        <w:t>). Kvocient nebezpečnosti vyjadřuje poměr mezi zjištěnou nebo předpokládanou expozicí či dávkou a referenční dávkou, nebo mezi koncentrací v ovzduší a referenční koncentrací v případě standardního expozičního scénáře. Pokud se současně vyskytují látky s podobným systémovým toxickým účinkem je možno součtem kvocientů získat index nebezpečnosti (Hazard Index – HI). Kvocient nebezpečnosti vyšší než 1 je považován za reálné riziko toxického účinku. Druhým způsobem hodnocení je použití vztahů odvozených z epidemiologických studií, které zkoumají vztah mezi dávkou (expozicí) a účinkem u člověka. Tento přístup je používán např. u suspendovaných částic PM</w:t>
      </w:r>
      <w:r w:rsidRPr="001507B2">
        <w:rPr>
          <w:color w:val="auto"/>
          <w:sz w:val="22"/>
          <w:szCs w:val="22"/>
          <w:vertAlign w:val="subscript"/>
        </w:rPr>
        <w:t>10</w:t>
      </w:r>
      <w:r w:rsidRPr="001507B2">
        <w:rPr>
          <w:color w:val="auto"/>
          <w:sz w:val="22"/>
          <w:szCs w:val="22"/>
        </w:rPr>
        <w:t xml:space="preserve">, kde současné znalosti neumožňují odvodit prahovou dávku či expozici a k vyjádření míry rizika se používá předpověď výskytu zdravotních účinků u exponovaných osob.  </w:t>
      </w:r>
    </w:p>
    <w:p w14:paraId="5BA6A5C4" w14:textId="780F49B2" w:rsidR="00552610" w:rsidRPr="001507B2" w:rsidRDefault="00552610" w:rsidP="00552610">
      <w:pPr>
        <w:spacing w:before="120" w:line="276" w:lineRule="auto"/>
        <w:jc w:val="both"/>
        <w:rPr>
          <w:color w:val="auto"/>
          <w:sz w:val="22"/>
          <w:szCs w:val="22"/>
        </w:rPr>
      </w:pPr>
      <w:r w:rsidRPr="001507B2">
        <w:rPr>
          <w:color w:val="auto"/>
          <w:sz w:val="22"/>
          <w:szCs w:val="22"/>
        </w:rPr>
        <w:lastRenderedPageBreak/>
        <w:t xml:space="preserve">Při hodnocení karcinogenů se vychází z teorie </w:t>
      </w:r>
      <w:r w:rsidRPr="001507B2">
        <w:rPr>
          <w:b/>
          <w:color w:val="auto"/>
          <w:sz w:val="22"/>
          <w:szCs w:val="22"/>
        </w:rPr>
        <w:t>bezprahového působení</w:t>
      </w:r>
      <w:r w:rsidRPr="001507B2">
        <w:rPr>
          <w:color w:val="auto"/>
          <w:sz w:val="22"/>
          <w:szCs w:val="22"/>
        </w:rPr>
        <w:t xml:space="preserve">. Ta předpokládá, že neexistuje žádná koncentrace, pod kterou by působení dané látky bylo nulové, jakákoliv expozice znamená určité riziko a velikost tohoto rizika se zvyšuje se zvyšující se expozicí. </w:t>
      </w:r>
      <w:r w:rsidR="005041D0" w:rsidRPr="005366A5">
        <w:rPr>
          <w:color w:val="auto"/>
          <w:sz w:val="22"/>
          <w:szCs w:val="22"/>
        </w:rPr>
        <w:t>Nelze zde tedy stanovit neúčinnou dávku a závislost dávky a účinku se vyjadřuje ukazatelem, vyjadřujícím míru karcinogenního potenciálu dané látky. Jde o pravděpodobnostní princip, kdy vyšší expozice neznamená závažnější poškození zdraví, ale vyšší pravděpodobnost jeho vzniku.</w:t>
      </w:r>
      <w:r w:rsidR="005041D0">
        <w:rPr>
          <w:color w:val="auto"/>
          <w:sz w:val="22"/>
          <w:szCs w:val="22"/>
        </w:rPr>
        <w:t xml:space="preserve"> </w:t>
      </w:r>
      <w:r w:rsidRPr="001507B2">
        <w:rPr>
          <w:color w:val="auto"/>
          <w:sz w:val="22"/>
          <w:szCs w:val="22"/>
        </w:rPr>
        <w:t xml:space="preserve">Míru karcinogenního potenciálu dané látky vyjadřuje směrnice </w:t>
      </w:r>
      <w:r w:rsidR="00C655C1">
        <w:rPr>
          <w:color w:val="auto"/>
          <w:sz w:val="22"/>
          <w:szCs w:val="22"/>
        </w:rPr>
        <w:t>karcinogenního</w:t>
      </w:r>
      <w:r w:rsidRPr="001507B2">
        <w:rPr>
          <w:color w:val="auto"/>
          <w:sz w:val="22"/>
          <w:szCs w:val="22"/>
        </w:rPr>
        <w:t xml:space="preserve"> rizika. Metody rizikové analýzy používají pro oblast velmi nízkých dávek extrapolace a předpokládají vztah lineární regrese mezi zvyšující se expozicí a celoživotním rizikem vzniku rakoviny. Proto je východiskem pro hodnocení celoživotní průměrná denní dávka a faktor směrnice rizika daný vztahem mezi dávkou a účinkem. Výsledkem je pak individuální celoživotní riziko. Reálné riziko je pravděpodobně nižší, protože směrnice rizika vychází z lineárního vícefázového modelu a je považována za horní hranici odhadu. Pokud předpokládáme celoživotní působení a odhadujeme navýšení rizika, můžeme karcinogenní riziko vypočítat také z koncentrace látky a jednotky rakovinného rizika. Dostaneme teoretické navýšení pravděpodobnosti vzniku nádorového onemocnění pro jednotlivce, které může způsobit daná úroveň expozice hodnocené látce nad výskyt v neovlivněné populaci.  </w:t>
      </w:r>
    </w:p>
    <w:p w14:paraId="1C58FF0D" w14:textId="77777777" w:rsidR="00552610" w:rsidRPr="005366A5" w:rsidRDefault="00552610" w:rsidP="00552610">
      <w:pPr>
        <w:spacing w:before="120"/>
        <w:jc w:val="both"/>
        <w:rPr>
          <w:color w:val="auto"/>
          <w:sz w:val="22"/>
          <w:szCs w:val="22"/>
        </w:rPr>
      </w:pPr>
      <w:r w:rsidRPr="005366A5">
        <w:rPr>
          <w:color w:val="auto"/>
          <w:sz w:val="22"/>
          <w:szCs w:val="22"/>
        </w:rPr>
        <w:t>Ukazatel karcinogenního potenciálu se nazývá směrnice rakovinového rizika (</w:t>
      </w:r>
      <w:proofErr w:type="spellStart"/>
      <w:r w:rsidRPr="005366A5">
        <w:rPr>
          <w:color w:val="auto"/>
          <w:sz w:val="22"/>
          <w:szCs w:val="22"/>
        </w:rPr>
        <w:t>Cancer</w:t>
      </w:r>
      <w:proofErr w:type="spellEnd"/>
      <w:r w:rsidRPr="005366A5">
        <w:rPr>
          <w:color w:val="auto"/>
          <w:sz w:val="22"/>
          <w:szCs w:val="22"/>
        </w:rPr>
        <w:t xml:space="preserve"> </w:t>
      </w:r>
      <w:proofErr w:type="spellStart"/>
      <w:r w:rsidRPr="005366A5">
        <w:rPr>
          <w:color w:val="auto"/>
          <w:sz w:val="22"/>
          <w:szCs w:val="22"/>
        </w:rPr>
        <w:t>Slope</w:t>
      </w:r>
      <w:proofErr w:type="spellEnd"/>
      <w:r w:rsidRPr="005366A5">
        <w:rPr>
          <w:color w:val="auto"/>
          <w:sz w:val="22"/>
          <w:szCs w:val="22"/>
        </w:rPr>
        <w:t xml:space="preserve"> </w:t>
      </w:r>
      <w:proofErr w:type="spellStart"/>
      <w:r w:rsidRPr="005366A5">
        <w:rPr>
          <w:color w:val="auto"/>
          <w:sz w:val="22"/>
          <w:szCs w:val="22"/>
        </w:rPr>
        <w:t>Factor</w:t>
      </w:r>
      <w:proofErr w:type="spellEnd"/>
      <w:r w:rsidRPr="005366A5">
        <w:rPr>
          <w:color w:val="auto"/>
          <w:sz w:val="22"/>
          <w:szCs w:val="22"/>
        </w:rPr>
        <w:t xml:space="preserve"> – CSF, nebo </w:t>
      </w:r>
      <w:proofErr w:type="spellStart"/>
      <w:r w:rsidRPr="005366A5">
        <w:rPr>
          <w:color w:val="auto"/>
          <w:sz w:val="22"/>
          <w:szCs w:val="22"/>
        </w:rPr>
        <w:t>Cancer</w:t>
      </w:r>
      <w:proofErr w:type="spellEnd"/>
      <w:r w:rsidRPr="005366A5">
        <w:rPr>
          <w:color w:val="auto"/>
          <w:sz w:val="22"/>
          <w:szCs w:val="22"/>
        </w:rPr>
        <w:t xml:space="preserve"> </w:t>
      </w:r>
      <w:proofErr w:type="spellStart"/>
      <w:r w:rsidRPr="005366A5">
        <w:rPr>
          <w:color w:val="auto"/>
          <w:sz w:val="22"/>
          <w:szCs w:val="22"/>
        </w:rPr>
        <w:t>Potency</w:t>
      </w:r>
      <w:proofErr w:type="spellEnd"/>
      <w:r w:rsidRPr="005366A5">
        <w:rPr>
          <w:color w:val="auto"/>
          <w:sz w:val="22"/>
          <w:szCs w:val="22"/>
        </w:rPr>
        <w:t xml:space="preserve"> Sloup – CPS). Jde o směrnici lineární závislosti vztahu mezi dávkou a účinkem, získanou matematickou extrapolací z vysokých dávek experimentálních, nebo vyskytujících se v pracovním prostředí, na nízké dávky reálné v životním prostředí. </w:t>
      </w:r>
    </w:p>
    <w:p w14:paraId="1D3D647A" w14:textId="07A3F4CD" w:rsidR="00552610" w:rsidRPr="00D66167" w:rsidRDefault="00552610" w:rsidP="00552610">
      <w:pPr>
        <w:spacing w:before="120"/>
        <w:jc w:val="both"/>
        <w:rPr>
          <w:color w:val="FF0000"/>
          <w:sz w:val="22"/>
          <w:szCs w:val="22"/>
        </w:rPr>
      </w:pPr>
      <w:r w:rsidRPr="005366A5">
        <w:rPr>
          <w:color w:val="auto"/>
          <w:sz w:val="22"/>
          <w:szCs w:val="22"/>
        </w:rPr>
        <w:t xml:space="preserve">Při hodnocení rizik z ovzduší se pro zjednodušení používá jednotka karcinogenního rizika (UCR), která je vztažená přímo ke koncentraci látky v ovzduší – viz tabulka č. </w:t>
      </w:r>
      <w:r w:rsidR="00202685">
        <w:rPr>
          <w:color w:val="auto"/>
          <w:sz w:val="22"/>
          <w:szCs w:val="22"/>
        </w:rPr>
        <w:t>2</w:t>
      </w:r>
      <w:r w:rsidRPr="005366A5">
        <w:rPr>
          <w:color w:val="auto"/>
          <w:sz w:val="22"/>
          <w:szCs w:val="22"/>
        </w:rPr>
        <w:t>. V případě možného karcinogenního účinku je míra rizika vyjadřovaná jako celoživotní vzestup pravděpodobnosti vzniku nádorového onemocnění (</w:t>
      </w:r>
      <w:proofErr w:type="spellStart"/>
      <w:r w:rsidRPr="005366A5">
        <w:rPr>
          <w:color w:val="auto"/>
          <w:sz w:val="22"/>
          <w:szCs w:val="22"/>
        </w:rPr>
        <w:t>Individual</w:t>
      </w:r>
      <w:proofErr w:type="spellEnd"/>
      <w:r w:rsidRPr="005366A5">
        <w:rPr>
          <w:color w:val="auto"/>
          <w:sz w:val="22"/>
          <w:szCs w:val="22"/>
        </w:rPr>
        <w:t xml:space="preserve"> </w:t>
      </w:r>
      <w:proofErr w:type="spellStart"/>
      <w:r w:rsidRPr="005366A5">
        <w:rPr>
          <w:color w:val="auto"/>
          <w:sz w:val="22"/>
          <w:szCs w:val="22"/>
        </w:rPr>
        <w:t>Lifetime</w:t>
      </w:r>
      <w:proofErr w:type="spellEnd"/>
      <w:r w:rsidRPr="005366A5">
        <w:rPr>
          <w:color w:val="auto"/>
          <w:sz w:val="22"/>
          <w:szCs w:val="22"/>
        </w:rPr>
        <w:t xml:space="preserve"> </w:t>
      </w:r>
      <w:proofErr w:type="spellStart"/>
      <w:r w:rsidRPr="005366A5">
        <w:rPr>
          <w:color w:val="auto"/>
          <w:sz w:val="22"/>
          <w:szCs w:val="22"/>
        </w:rPr>
        <w:t>Cancer</w:t>
      </w:r>
      <w:proofErr w:type="spellEnd"/>
      <w:r w:rsidRPr="005366A5">
        <w:rPr>
          <w:color w:val="auto"/>
          <w:sz w:val="22"/>
          <w:szCs w:val="22"/>
        </w:rPr>
        <w:t xml:space="preserve"> Risk – ILCR) u jedince z exponované populace, tedy teoretický počet statisticky předpokládaných případů nádorového onemocnění na počet exponovaných osob nad výskyt v neovlivněné populaci. Za tzv. společensky únosnou míru karcinogenního rizika je v USA a zemích Evropské Unie obvykle považována hodnota </w:t>
      </w:r>
      <w:r>
        <w:rPr>
          <w:color w:val="auto"/>
          <w:sz w:val="22"/>
          <w:szCs w:val="22"/>
        </w:rPr>
        <w:br/>
      </w:r>
      <w:r w:rsidRPr="005366A5">
        <w:rPr>
          <w:color w:val="auto"/>
          <w:sz w:val="22"/>
          <w:szCs w:val="22"/>
        </w:rPr>
        <w:t>1 × 10</w:t>
      </w:r>
      <w:r w:rsidRPr="005366A5">
        <w:rPr>
          <w:color w:val="auto"/>
          <w:sz w:val="22"/>
          <w:szCs w:val="22"/>
          <w:vertAlign w:val="superscript"/>
        </w:rPr>
        <w:t>-6</w:t>
      </w:r>
      <w:r w:rsidRPr="005366A5">
        <w:rPr>
          <w:color w:val="auto"/>
          <w:sz w:val="22"/>
          <w:szCs w:val="22"/>
        </w:rPr>
        <w:t xml:space="preserve">, což znamená zvýšení individuálního celoživotního rizika onemocněním rakovinou </w:t>
      </w:r>
      <w:r>
        <w:rPr>
          <w:color w:val="auto"/>
          <w:sz w:val="22"/>
          <w:szCs w:val="22"/>
        </w:rPr>
        <w:br/>
      </w:r>
      <w:r w:rsidRPr="005366A5">
        <w:rPr>
          <w:color w:val="auto"/>
          <w:sz w:val="22"/>
          <w:szCs w:val="22"/>
        </w:rPr>
        <w:t>o 1 případ na 1 000 000 exponovaných osob. Vzhledem k nejistotám ve výpočtu lze však považovat za akceptovatelnou řádovou úroveň rizika 10</w:t>
      </w:r>
      <w:r w:rsidRPr="005366A5">
        <w:rPr>
          <w:color w:val="auto"/>
          <w:sz w:val="22"/>
          <w:szCs w:val="22"/>
          <w:vertAlign w:val="superscript"/>
        </w:rPr>
        <w:t>-6</w:t>
      </w:r>
      <w:r w:rsidRPr="005366A5">
        <w:rPr>
          <w:color w:val="auto"/>
          <w:sz w:val="22"/>
          <w:szCs w:val="22"/>
        </w:rPr>
        <w:t xml:space="preserve">. Z individuálního rizika a počtu osob v hodnocené populaci je možno odvodit populační riziko, které je vyjadřováno pro 1 rok. </w:t>
      </w:r>
    </w:p>
    <w:p w14:paraId="57444C20" w14:textId="77777777" w:rsidR="00552610" w:rsidRPr="00D66167" w:rsidRDefault="00552610" w:rsidP="00552610">
      <w:pPr>
        <w:pStyle w:val="Titulek"/>
        <w:rPr>
          <w:rFonts w:ascii="Mulish" w:hAnsi="Mulish"/>
          <w:color w:val="FF0000"/>
          <w:sz w:val="22"/>
          <w:szCs w:val="22"/>
        </w:rPr>
      </w:pPr>
      <w:bookmarkStart w:id="4" w:name="_Toc264440430"/>
      <w:bookmarkStart w:id="5" w:name="_Toc366838905"/>
      <w:bookmarkStart w:id="6" w:name="_Toc395266823"/>
      <w:bookmarkStart w:id="7" w:name="_Toc22215927"/>
    </w:p>
    <w:p w14:paraId="72293D1E" w14:textId="261EF594" w:rsidR="00552610" w:rsidRPr="00D66167" w:rsidRDefault="00552610" w:rsidP="00552610">
      <w:pPr>
        <w:pStyle w:val="Titulek"/>
        <w:rPr>
          <w:rFonts w:ascii="Mulish" w:hAnsi="Mulish"/>
          <w:color w:val="auto"/>
          <w:sz w:val="22"/>
          <w:szCs w:val="22"/>
        </w:rPr>
      </w:pPr>
      <w:r w:rsidRPr="00D66167">
        <w:rPr>
          <w:rFonts w:ascii="Mulish" w:hAnsi="Mulish"/>
          <w:color w:val="auto"/>
          <w:sz w:val="22"/>
          <w:szCs w:val="22"/>
        </w:rPr>
        <w:t xml:space="preserve">Tabulka č. </w:t>
      </w:r>
      <w:r w:rsidRPr="00D66167">
        <w:rPr>
          <w:rFonts w:ascii="Mulish" w:hAnsi="Mulish"/>
          <w:color w:val="auto"/>
          <w:sz w:val="22"/>
          <w:szCs w:val="22"/>
        </w:rPr>
        <w:fldChar w:fldCharType="begin"/>
      </w:r>
      <w:r w:rsidRPr="00D66167">
        <w:rPr>
          <w:rFonts w:ascii="Mulish" w:hAnsi="Mulish"/>
          <w:color w:val="auto"/>
          <w:sz w:val="22"/>
          <w:szCs w:val="22"/>
        </w:rPr>
        <w:instrText xml:space="preserve"> SEQ Tabulka_č._ \* ARABIC </w:instrText>
      </w:r>
      <w:r w:rsidRPr="00D66167">
        <w:rPr>
          <w:rFonts w:ascii="Mulish" w:hAnsi="Mulish"/>
          <w:color w:val="auto"/>
          <w:sz w:val="22"/>
          <w:szCs w:val="22"/>
        </w:rPr>
        <w:fldChar w:fldCharType="separate"/>
      </w:r>
      <w:r w:rsidR="00D30EF9">
        <w:rPr>
          <w:rFonts w:ascii="Mulish" w:hAnsi="Mulish"/>
          <w:noProof/>
          <w:color w:val="auto"/>
          <w:sz w:val="22"/>
          <w:szCs w:val="22"/>
        </w:rPr>
        <w:t>2</w:t>
      </w:r>
      <w:r w:rsidRPr="00D66167">
        <w:rPr>
          <w:rFonts w:ascii="Mulish" w:hAnsi="Mulish"/>
          <w:noProof/>
          <w:color w:val="auto"/>
          <w:sz w:val="22"/>
          <w:szCs w:val="22"/>
        </w:rPr>
        <w:fldChar w:fldCharType="end"/>
      </w:r>
      <w:r w:rsidRPr="00D66167">
        <w:rPr>
          <w:rFonts w:ascii="Mulish" w:hAnsi="Mulish"/>
          <w:color w:val="auto"/>
          <w:sz w:val="22"/>
          <w:szCs w:val="22"/>
        </w:rPr>
        <w:t xml:space="preserve"> - Vybrané škodliviny - použité hodnoty jednotkového rizika</w:t>
      </w:r>
      <w:bookmarkEnd w:id="4"/>
      <w:bookmarkEnd w:id="5"/>
      <w:bookmarkEnd w:id="6"/>
      <w:bookmarkEnd w:id="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701"/>
        <w:gridCol w:w="1701"/>
        <w:gridCol w:w="1701"/>
        <w:gridCol w:w="1701"/>
      </w:tblGrid>
      <w:tr w:rsidR="00552610" w:rsidRPr="00D66167" w14:paraId="4B2A93E8" w14:textId="77777777" w:rsidTr="00D00416">
        <w:trPr>
          <w:trHeight w:hRule="exact" w:val="340"/>
          <w:jc w:val="center"/>
        </w:trPr>
        <w:tc>
          <w:tcPr>
            <w:tcW w:w="2405" w:type="dxa"/>
            <w:shd w:val="clear" w:color="auto" w:fill="B4C6E7" w:themeFill="accent1" w:themeFillTint="66"/>
            <w:vAlign w:val="center"/>
          </w:tcPr>
          <w:p w14:paraId="331A8B68" w14:textId="77777777" w:rsidR="00552610" w:rsidRPr="005366A5" w:rsidRDefault="00552610" w:rsidP="00D00416">
            <w:pPr>
              <w:rPr>
                <w:bCs/>
              </w:rPr>
            </w:pPr>
            <w:r w:rsidRPr="005366A5">
              <w:rPr>
                <w:bCs/>
              </w:rPr>
              <w:t>Škodlivina</w:t>
            </w:r>
          </w:p>
        </w:tc>
        <w:tc>
          <w:tcPr>
            <w:tcW w:w="1701" w:type="dxa"/>
            <w:shd w:val="clear" w:color="auto" w:fill="B4C6E7" w:themeFill="accent1" w:themeFillTint="66"/>
            <w:vAlign w:val="center"/>
          </w:tcPr>
          <w:p w14:paraId="1C62D0A7" w14:textId="77777777" w:rsidR="00552610" w:rsidRPr="005366A5" w:rsidRDefault="00552610" w:rsidP="00D00416">
            <w:pPr>
              <w:jc w:val="center"/>
              <w:rPr>
                <w:bCs/>
              </w:rPr>
            </w:pPr>
            <w:r w:rsidRPr="005366A5">
              <w:rPr>
                <w:bCs/>
              </w:rPr>
              <w:t>As</w:t>
            </w:r>
          </w:p>
        </w:tc>
        <w:tc>
          <w:tcPr>
            <w:tcW w:w="1701" w:type="dxa"/>
            <w:shd w:val="clear" w:color="auto" w:fill="B4C6E7" w:themeFill="accent1" w:themeFillTint="66"/>
            <w:vAlign w:val="center"/>
          </w:tcPr>
          <w:p w14:paraId="15EB4F2B" w14:textId="77777777" w:rsidR="00552610" w:rsidRPr="005366A5" w:rsidRDefault="00552610" w:rsidP="00D00416">
            <w:pPr>
              <w:jc w:val="center"/>
              <w:rPr>
                <w:bCs/>
              </w:rPr>
            </w:pPr>
            <w:r w:rsidRPr="005366A5">
              <w:rPr>
                <w:bCs/>
              </w:rPr>
              <w:t>Ni</w:t>
            </w:r>
          </w:p>
        </w:tc>
        <w:tc>
          <w:tcPr>
            <w:tcW w:w="1701" w:type="dxa"/>
            <w:shd w:val="clear" w:color="auto" w:fill="B4C6E7" w:themeFill="accent1" w:themeFillTint="66"/>
            <w:vAlign w:val="center"/>
          </w:tcPr>
          <w:p w14:paraId="7F48D672" w14:textId="77777777" w:rsidR="00552610" w:rsidRPr="005366A5" w:rsidRDefault="00552610" w:rsidP="00D00416">
            <w:pPr>
              <w:jc w:val="center"/>
              <w:rPr>
                <w:bCs/>
              </w:rPr>
            </w:pPr>
            <w:r w:rsidRPr="005366A5">
              <w:rPr>
                <w:bCs/>
              </w:rPr>
              <w:t>Cd</w:t>
            </w:r>
          </w:p>
        </w:tc>
        <w:tc>
          <w:tcPr>
            <w:tcW w:w="1701" w:type="dxa"/>
            <w:shd w:val="clear" w:color="auto" w:fill="B4C6E7" w:themeFill="accent1" w:themeFillTint="66"/>
            <w:vAlign w:val="center"/>
          </w:tcPr>
          <w:p w14:paraId="2857CB9A" w14:textId="77777777" w:rsidR="00552610" w:rsidRPr="005366A5" w:rsidRDefault="00552610" w:rsidP="00D00416">
            <w:pPr>
              <w:jc w:val="center"/>
              <w:rPr>
                <w:bCs/>
              </w:rPr>
            </w:pPr>
            <w:r w:rsidRPr="005366A5">
              <w:rPr>
                <w:bCs/>
              </w:rPr>
              <w:t>BENZ</w:t>
            </w:r>
          </w:p>
        </w:tc>
      </w:tr>
      <w:tr w:rsidR="00552610" w:rsidRPr="00D66167" w14:paraId="00E50499" w14:textId="77777777" w:rsidTr="00D00416">
        <w:trPr>
          <w:trHeight w:hRule="exact" w:val="340"/>
          <w:jc w:val="center"/>
        </w:trPr>
        <w:tc>
          <w:tcPr>
            <w:tcW w:w="2405" w:type="dxa"/>
            <w:shd w:val="clear" w:color="auto" w:fill="B4C6E7" w:themeFill="accent1" w:themeFillTint="66"/>
            <w:vAlign w:val="center"/>
          </w:tcPr>
          <w:p w14:paraId="3B7917A1" w14:textId="77777777" w:rsidR="00552610" w:rsidRPr="005366A5" w:rsidRDefault="00552610" w:rsidP="00D00416">
            <w:pPr>
              <w:rPr>
                <w:bCs/>
              </w:rPr>
            </w:pPr>
            <w:r w:rsidRPr="005366A5">
              <w:rPr>
                <w:bCs/>
              </w:rPr>
              <w:t>Jednotka rizika</w:t>
            </w:r>
          </w:p>
        </w:tc>
        <w:tc>
          <w:tcPr>
            <w:tcW w:w="1701" w:type="dxa"/>
            <w:tcBorders>
              <w:bottom w:val="single" w:sz="4" w:space="0" w:color="auto"/>
            </w:tcBorders>
            <w:shd w:val="clear" w:color="auto" w:fill="auto"/>
            <w:vAlign w:val="center"/>
          </w:tcPr>
          <w:p w14:paraId="2F8C47FE" w14:textId="77777777" w:rsidR="00552610" w:rsidRPr="005366A5" w:rsidRDefault="00552610" w:rsidP="00D00416">
            <w:pPr>
              <w:jc w:val="center"/>
              <w:rPr>
                <w:bCs/>
              </w:rPr>
            </w:pPr>
            <w:r w:rsidRPr="005366A5">
              <w:rPr>
                <w:bCs/>
              </w:rPr>
              <w:t>1,50E-03</w:t>
            </w:r>
          </w:p>
        </w:tc>
        <w:tc>
          <w:tcPr>
            <w:tcW w:w="1701" w:type="dxa"/>
            <w:tcBorders>
              <w:bottom w:val="single" w:sz="4" w:space="0" w:color="auto"/>
            </w:tcBorders>
            <w:shd w:val="clear" w:color="auto" w:fill="auto"/>
            <w:vAlign w:val="center"/>
          </w:tcPr>
          <w:p w14:paraId="33B2A035" w14:textId="77777777" w:rsidR="00552610" w:rsidRPr="005366A5" w:rsidRDefault="00552610" w:rsidP="00D00416">
            <w:pPr>
              <w:jc w:val="center"/>
              <w:rPr>
                <w:bCs/>
              </w:rPr>
            </w:pPr>
            <w:r w:rsidRPr="005366A5">
              <w:rPr>
                <w:bCs/>
              </w:rPr>
              <w:t>3,80E-04</w:t>
            </w:r>
          </w:p>
        </w:tc>
        <w:tc>
          <w:tcPr>
            <w:tcW w:w="1701" w:type="dxa"/>
            <w:tcBorders>
              <w:bottom w:val="single" w:sz="4" w:space="0" w:color="auto"/>
            </w:tcBorders>
            <w:shd w:val="clear" w:color="auto" w:fill="auto"/>
            <w:vAlign w:val="center"/>
          </w:tcPr>
          <w:p w14:paraId="66B8EF49" w14:textId="77777777" w:rsidR="00552610" w:rsidRPr="005366A5" w:rsidRDefault="00552610" w:rsidP="00D00416">
            <w:pPr>
              <w:jc w:val="center"/>
              <w:rPr>
                <w:bCs/>
              </w:rPr>
            </w:pPr>
            <w:r w:rsidRPr="005366A5">
              <w:rPr>
                <w:bCs/>
              </w:rPr>
              <w:t>4,90E-04</w:t>
            </w:r>
          </w:p>
        </w:tc>
        <w:tc>
          <w:tcPr>
            <w:tcW w:w="1701" w:type="dxa"/>
            <w:tcBorders>
              <w:bottom w:val="single" w:sz="4" w:space="0" w:color="auto"/>
            </w:tcBorders>
            <w:shd w:val="clear" w:color="auto" w:fill="auto"/>
            <w:vAlign w:val="center"/>
          </w:tcPr>
          <w:p w14:paraId="5FC0C226" w14:textId="77777777" w:rsidR="00552610" w:rsidRPr="005366A5" w:rsidRDefault="00552610" w:rsidP="00D00416">
            <w:pPr>
              <w:jc w:val="center"/>
              <w:rPr>
                <w:bCs/>
              </w:rPr>
            </w:pPr>
            <w:r w:rsidRPr="005366A5">
              <w:rPr>
                <w:bCs/>
              </w:rPr>
              <w:t>6,00E-06</w:t>
            </w:r>
          </w:p>
        </w:tc>
      </w:tr>
      <w:tr w:rsidR="00552610" w:rsidRPr="00D66167" w14:paraId="0591B2A1" w14:textId="77777777" w:rsidTr="00D00416">
        <w:trPr>
          <w:trHeight w:hRule="exact" w:val="340"/>
          <w:jc w:val="center"/>
        </w:trPr>
        <w:tc>
          <w:tcPr>
            <w:tcW w:w="2405" w:type="dxa"/>
            <w:shd w:val="clear" w:color="auto" w:fill="B4C6E7" w:themeFill="accent1" w:themeFillTint="66"/>
            <w:vAlign w:val="center"/>
          </w:tcPr>
          <w:p w14:paraId="6CEE1E6C" w14:textId="77777777" w:rsidR="00552610" w:rsidRPr="005366A5" w:rsidRDefault="00552610" w:rsidP="00D00416">
            <w:pPr>
              <w:rPr>
                <w:bCs/>
              </w:rPr>
            </w:pPr>
            <w:r w:rsidRPr="005366A5">
              <w:rPr>
                <w:bCs/>
              </w:rPr>
              <w:lastRenderedPageBreak/>
              <w:t>Škodlivina</w:t>
            </w:r>
          </w:p>
        </w:tc>
        <w:tc>
          <w:tcPr>
            <w:tcW w:w="1701" w:type="dxa"/>
            <w:shd w:val="clear" w:color="auto" w:fill="B4C6E7" w:themeFill="accent1" w:themeFillTint="66"/>
            <w:vAlign w:val="center"/>
          </w:tcPr>
          <w:p w14:paraId="061201F6" w14:textId="77777777" w:rsidR="00552610" w:rsidRPr="005366A5" w:rsidRDefault="00552610" w:rsidP="00D00416">
            <w:pPr>
              <w:jc w:val="center"/>
            </w:pPr>
            <w:r w:rsidRPr="005366A5">
              <w:rPr>
                <w:bCs/>
              </w:rPr>
              <w:t>BaP</w:t>
            </w:r>
          </w:p>
        </w:tc>
        <w:tc>
          <w:tcPr>
            <w:tcW w:w="1701" w:type="dxa"/>
            <w:shd w:val="clear" w:color="auto" w:fill="B4C6E7" w:themeFill="accent1" w:themeFillTint="66"/>
            <w:vAlign w:val="center"/>
          </w:tcPr>
          <w:p w14:paraId="7BE1E898" w14:textId="77777777" w:rsidR="00552610" w:rsidRPr="005366A5" w:rsidRDefault="00552610" w:rsidP="00D00416">
            <w:pPr>
              <w:jc w:val="center"/>
            </w:pPr>
            <w:proofErr w:type="spellStart"/>
            <w:r w:rsidRPr="005366A5">
              <w:t>BaA</w:t>
            </w:r>
            <w:proofErr w:type="spellEnd"/>
          </w:p>
        </w:tc>
        <w:tc>
          <w:tcPr>
            <w:tcW w:w="1701" w:type="dxa"/>
            <w:shd w:val="clear" w:color="auto" w:fill="B4C6E7" w:themeFill="accent1" w:themeFillTint="66"/>
            <w:vAlign w:val="center"/>
          </w:tcPr>
          <w:p w14:paraId="24A51232" w14:textId="77777777" w:rsidR="00552610" w:rsidRPr="005366A5" w:rsidRDefault="00552610" w:rsidP="00D00416">
            <w:pPr>
              <w:jc w:val="center"/>
            </w:pPr>
            <w:proofErr w:type="spellStart"/>
            <w:r w:rsidRPr="005366A5">
              <w:t>BbF</w:t>
            </w:r>
            <w:proofErr w:type="spellEnd"/>
          </w:p>
        </w:tc>
        <w:tc>
          <w:tcPr>
            <w:tcW w:w="1701" w:type="dxa"/>
            <w:shd w:val="clear" w:color="auto" w:fill="B4C6E7" w:themeFill="accent1" w:themeFillTint="66"/>
            <w:vAlign w:val="center"/>
          </w:tcPr>
          <w:p w14:paraId="6BB7CF1E" w14:textId="77777777" w:rsidR="00552610" w:rsidRPr="005366A5" w:rsidRDefault="00552610" w:rsidP="00D00416">
            <w:pPr>
              <w:jc w:val="center"/>
            </w:pPr>
            <w:proofErr w:type="spellStart"/>
            <w:r w:rsidRPr="005366A5">
              <w:t>BkF</w:t>
            </w:r>
            <w:proofErr w:type="spellEnd"/>
          </w:p>
        </w:tc>
      </w:tr>
      <w:tr w:rsidR="00552610" w:rsidRPr="00D66167" w14:paraId="45A253AE" w14:textId="77777777" w:rsidTr="00D00416">
        <w:trPr>
          <w:trHeight w:hRule="exact" w:val="340"/>
          <w:jc w:val="center"/>
        </w:trPr>
        <w:tc>
          <w:tcPr>
            <w:tcW w:w="2405" w:type="dxa"/>
            <w:shd w:val="clear" w:color="auto" w:fill="B4C6E7" w:themeFill="accent1" w:themeFillTint="66"/>
            <w:vAlign w:val="center"/>
          </w:tcPr>
          <w:p w14:paraId="417E805D" w14:textId="77777777" w:rsidR="00552610" w:rsidRPr="005366A5" w:rsidRDefault="00552610" w:rsidP="00D00416">
            <w:pPr>
              <w:rPr>
                <w:bCs/>
              </w:rPr>
            </w:pPr>
            <w:r w:rsidRPr="005366A5">
              <w:rPr>
                <w:bCs/>
              </w:rPr>
              <w:t>Jednotka rizika</w:t>
            </w:r>
          </w:p>
        </w:tc>
        <w:tc>
          <w:tcPr>
            <w:tcW w:w="1701" w:type="dxa"/>
            <w:tcBorders>
              <w:bottom w:val="single" w:sz="4" w:space="0" w:color="auto"/>
            </w:tcBorders>
            <w:shd w:val="clear" w:color="auto" w:fill="auto"/>
            <w:vAlign w:val="center"/>
          </w:tcPr>
          <w:p w14:paraId="2D0F3A44" w14:textId="77777777" w:rsidR="00552610" w:rsidRPr="005366A5" w:rsidRDefault="00552610" w:rsidP="00D00416">
            <w:pPr>
              <w:jc w:val="center"/>
            </w:pPr>
            <w:r w:rsidRPr="005366A5">
              <w:rPr>
                <w:bCs/>
              </w:rPr>
              <w:t>8,70E-02</w:t>
            </w:r>
          </w:p>
        </w:tc>
        <w:tc>
          <w:tcPr>
            <w:tcW w:w="1701" w:type="dxa"/>
            <w:tcBorders>
              <w:bottom w:val="single" w:sz="4" w:space="0" w:color="auto"/>
            </w:tcBorders>
            <w:shd w:val="clear" w:color="auto" w:fill="auto"/>
            <w:vAlign w:val="center"/>
          </w:tcPr>
          <w:p w14:paraId="3C3B0B4F" w14:textId="77777777" w:rsidR="00552610" w:rsidRPr="005366A5" w:rsidRDefault="00552610" w:rsidP="00D00416">
            <w:pPr>
              <w:jc w:val="center"/>
            </w:pPr>
            <w:r w:rsidRPr="005366A5">
              <w:t>1,00E-04</w:t>
            </w:r>
          </w:p>
        </w:tc>
        <w:tc>
          <w:tcPr>
            <w:tcW w:w="1701" w:type="dxa"/>
            <w:tcBorders>
              <w:bottom w:val="single" w:sz="4" w:space="0" w:color="auto"/>
            </w:tcBorders>
            <w:shd w:val="clear" w:color="auto" w:fill="auto"/>
            <w:vAlign w:val="center"/>
          </w:tcPr>
          <w:p w14:paraId="402DAFEA" w14:textId="77777777" w:rsidR="00552610" w:rsidRPr="005366A5" w:rsidRDefault="00552610" w:rsidP="00D00416">
            <w:pPr>
              <w:jc w:val="center"/>
            </w:pPr>
            <w:r w:rsidRPr="005366A5">
              <w:t>1,00E-04</w:t>
            </w:r>
          </w:p>
        </w:tc>
        <w:tc>
          <w:tcPr>
            <w:tcW w:w="1701" w:type="dxa"/>
            <w:tcBorders>
              <w:bottom w:val="single" w:sz="4" w:space="0" w:color="auto"/>
            </w:tcBorders>
            <w:shd w:val="clear" w:color="auto" w:fill="auto"/>
            <w:vAlign w:val="center"/>
          </w:tcPr>
          <w:p w14:paraId="33C27229" w14:textId="77777777" w:rsidR="00552610" w:rsidRPr="005366A5" w:rsidRDefault="00552610" w:rsidP="00D00416">
            <w:pPr>
              <w:jc w:val="center"/>
            </w:pPr>
            <w:r w:rsidRPr="005366A5">
              <w:t>1,00E-05</w:t>
            </w:r>
          </w:p>
        </w:tc>
      </w:tr>
      <w:tr w:rsidR="00552610" w:rsidRPr="00D66167" w14:paraId="0DAD1735" w14:textId="77777777" w:rsidTr="00D00416">
        <w:trPr>
          <w:trHeight w:hRule="exact" w:val="340"/>
          <w:jc w:val="center"/>
        </w:trPr>
        <w:tc>
          <w:tcPr>
            <w:tcW w:w="2405" w:type="dxa"/>
            <w:shd w:val="clear" w:color="auto" w:fill="B4C6E7" w:themeFill="accent1" w:themeFillTint="66"/>
            <w:vAlign w:val="center"/>
          </w:tcPr>
          <w:p w14:paraId="7F710A4E" w14:textId="77777777" w:rsidR="00552610" w:rsidRPr="005366A5" w:rsidRDefault="00552610" w:rsidP="00D00416">
            <w:pPr>
              <w:rPr>
                <w:bCs/>
              </w:rPr>
            </w:pPr>
            <w:r w:rsidRPr="005366A5">
              <w:rPr>
                <w:bCs/>
              </w:rPr>
              <w:t>Škodlivina</w:t>
            </w:r>
          </w:p>
        </w:tc>
        <w:tc>
          <w:tcPr>
            <w:tcW w:w="1701" w:type="dxa"/>
            <w:shd w:val="clear" w:color="auto" w:fill="B4C6E7" w:themeFill="accent1" w:themeFillTint="66"/>
            <w:vAlign w:val="center"/>
          </w:tcPr>
          <w:p w14:paraId="2EA55935" w14:textId="77777777" w:rsidR="00552610" w:rsidRPr="005366A5" w:rsidRDefault="00552610" w:rsidP="00D00416">
            <w:pPr>
              <w:jc w:val="center"/>
            </w:pPr>
            <w:proofErr w:type="spellStart"/>
            <w:r w:rsidRPr="005366A5">
              <w:t>BghiP</w:t>
            </w:r>
            <w:proofErr w:type="spellEnd"/>
          </w:p>
        </w:tc>
        <w:tc>
          <w:tcPr>
            <w:tcW w:w="1701" w:type="dxa"/>
            <w:tcBorders>
              <w:bottom w:val="single" w:sz="4" w:space="0" w:color="auto"/>
            </w:tcBorders>
            <w:shd w:val="clear" w:color="auto" w:fill="B4C6E7" w:themeFill="accent1" w:themeFillTint="66"/>
            <w:vAlign w:val="center"/>
          </w:tcPr>
          <w:p w14:paraId="185C1E4C" w14:textId="77777777" w:rsidR="00552610" w:rsidRPr="005366A5" w:rsidRDefault="00552610" w:rsidP="00D00416">
            <w:pPr>
              <w:jc w:val="center"/>
            </w:pPr>
            <w:proofErr w:type="spellStart"/>
            <w:r w:rsidRPr="005366A5">
              <w:t>DbahA</w:t>
            </w:r>
            <w:proofErr w:type="spellEnd"/>
          </w:p>
        </w:tc>
        <w:tc>
          <w:tcPr>
            <w:tcW w:w="1701" w:type="dxa"/>
            <w:tcBorders>
              <w:bottom w:val="single" w:sz="4" w:space="0" w:color="auto"/>
            </w:tcBorders>
            <w:shd w:val="clear" w:color="auto" w:fill="B4C6E7" w:themeFill="accent1" w:themeFillTint="66"/>
            <w:vAlign w:val="center"/>
          </w:tcPr>
          <w:p w14:paraId="21030D7F" w14:textId="77777777" w:rsidR="00552610" w:rsidRPr="005366A5" w:rsidRDefault="00552610" w:rsidP="00D00416">
            <w:pPr>
              <w:jc w:val="center"/>
            </w:pPr>
            <w:r w:rsidRPr="005366A5">
              <w:t>CRY</w:t>
            </w:r>
          </w:p>
        </w:tc>
        <w:tc>
          <w:tcPr>
            <w:tcW w:w="1701" w:type="dxa"/>
            <w:tcBorders>
              <w:bottom w:val="single" w:sz="4" w:space="0" w:color="auto"/>
              <w:right w:val="single" w:sz="4" w:space="0" w:color="auto"/>
            </w:tcBorders>
            <w:shd w:val="clear" w:color="auto" w:fill="B4C6E7" w:themeFill="accent1" w:themeFillTint="66"/>
            <w:vAlign w:val="center"/>
          </w:tcPr>
          <w:p w14:paraId="0D298A58" w14:textId="77777777" w:rsidR="00552610" w:rsidRPr="005366A5" w:rsidRDefault="00552610" w:rsidP="00D00416">
            <w:pPr>
              <w:jc w:val="center"/>
            </w:pPr>
            <w:r w:rsidRPr="005366A5">
              <w:rPr>
                <w:bCs/>
              </w:rPr>
              <w:t>I123cdP</w:t>
            </w:r>
          </w:p>
        </w:tc>
      </w:tr>
      <w:tr w:rsidR="00552610" w:rsidRPr="00D66167" w14:paraId="349514FC" w14:textId="77777777" w:rsidTr="00D00416">
        <w:trPr>
          <w:trHeight w:hRule="exact" w:val="340"/>
          <w:jc w:val="center"/>
        </w:trPr>
        <w:tc>
          <w:tcPr>
            <w:tcW w:w="2405" w:type="dxa"/>
            <w:shd w:val="clear" w:color="auto" w:fill="B4C6E7" w:themeFill="accent1" w:themeFillTint="66"/>
            <w:vAlign w:val="center"/>
          </w:tcPr>
          <w:p w14:paraId="445FF970" w14:textId="77777777" w:rsidR="00552610" w:rsidRPr="005366A5" w:rsidRDefault="00552610" w:rsidP="00D00416">
            <w:pPr>
              <w:rPr>
                <w:bCs/>
              </w:rPr>
            </w:pPr>
            <w:r w:rsidRPr="005366A5">
              <w:rPr>
                <w:bCs/>
              </w:rPr>
              <w:t>Jednotka rizika</w:t>
            </w:r>
          </w:p>
        </w:tc>
        <w:tc>
          <w:tcPr>
            <w:tcW w:w="1701" w:type="dxa"/>
            <w:shd w:val="clear" w:color="auto" w:fill="auto"/>
            <w:vAlign w:val="center"/>
          </w:tcPr>
          <w:p w14:paraId="30F10578" w14:textId="77777777" w:rsidR="00552610" w:rsidRPr="005366A5" w:rsidRDefault="00552610" w:rsidP="00D00416">
            <w:pPr>
              <w:jc w:val="center"/>
            </w:pPr>
            <w:r w:rsidRPr="005366A5">
              <w:t>1,00E-06</w:t>
            </w:r>
          </w:p>
        </w:tc>
        <w:tc>
          <w:tcPr>
            <w:tcW w:w="1701" w:type="dxa"/>
            <w:tcBorders>
              <w:top w:val="single" w:sz="4" w:space="0" w:color="auto"/>
              <w:bottom w:val="single" w:sz="4" w:space="0" w:color="auto"/>
            </w:tcBorders>
            <w:shd w:val="clear" w:color="auto" w:fill="auto"/>
            <w:vAlign w:val="center"/>
          </w:tcPr>
          <w:p w14:paraId="296BA6E2" w14:textId="77777777" w:rsidR="00552610" w:rsidRPr="005366A5" w:rsidRDefault="00552610" w:rsidP="00D00416">
            <w:pPr>
              <w:jc w:val="center"/>
            </w:pPr>
            <w:r w:rsidRPr="005366A5">
              <w:t>1,00E-03</w:t>
            </w:r>
          </w:p>
        </w:tc>
        <w:tc>
          <w:tcPr>
            <w:tcW w:w="1701" w:type="dxa"/>
            <w:tcBorders>
              <w:top w:val="single" w:sz="4" w:space="0" w:color="auto"/>
              <w:bottom w:val="single" w:sz="4" w:space="0" w:color="auto"/>
            </w:tcBorders>
            <w:shd w:val="clear" w:color="auto" w:fill="auto"/>
            <w:vAlign w:val="center"/>
          </w:tcPr>
          <w:p w14:paraId="21EE0139" w14:textId="77777777" w:rsidR="00552610" w:rsidRPr="005366A5" w:rsidRDefault="00552610" w:rsidP="00D00416">
            <w:pPr>
              <w:jc w:val="center"/>
            </w:pPr>
            <w:r w:rsidRPr="005366A5">
              <w:t>1,00E-06</w:t>
            </w:r>
          </w:p>
        </w:tc>
        <w:tc>
          <w:tcPr>
            <w:tcW w:w="1701" w:type="dxa"/>
            <w:tcBorders>
              <w:top w:val="single" w:sz="4" w:space="0" w:color="auto"/>
              <w:bottom w:val="single" w:sz="4" w:space="0" w:color="auto"/>
              <w:right w:val="single" w:sz="4" w:space="0" w:color="auto"/>
            </w:tcBorders>
            <w:shd w:val="clear" w:color="auto" w:fill="auto"/>
            <w:vAlign w:val="center"/>
          </w:tcPr>
          <w:p w14:paraId="42B1A85F" w14:textId="77777777" w:rsidR="00552610" w:rsidRPr="005366A5" w:rsidRDefault="00552610" w:rsidP="00D00416">
            <w:pPr>
              <w:jc w:val="center"/>
            </w:pPr>
            <w:r w:rsidRPr="005366A5">
              <w:t>1,00E-04</w:t>
            </w:r>
          </w:p>
        </w:tc>
      </w:tr>
    </w:tbl>
    <w:p w14:paraId="5652E488" w14:textId="77777777" w:rsidR="00552610" w:rsidRPr="00202685" w:rsidRDefault="00552610" w:rsidP="00552610">
      <w:pPr>
        <w:spacing w:before="120"/>
        <w:ind w:right="-1"/>
        <w:jc w:val="both"/>
        <w:rPr>
          <w:i/>
        </w:rPr>
      </w:pPr>
      <w:r w:rsidRPr="00202685">
        <w:rPr>
          <w:i/>
        </w:rPr>
        <w:t xml:space="preserve">Hodnoty jednotkového rizika pro výpočet byly převzaty Air </w:t>
      </w:r>
      <w:proofErr w:type="spellStart"/>
      <w:r w:rsidRPr="00202685">
        <w:rPr>
          <w:i/>
        </w:rPr>
        <w:t>Quality</w:t>
      </w:r>
      <w:proofErr w:type="spellEnd"/>
      <w:r w:rsidRPr="00202685">
        <w:rPr>
          <w:i/>
        </w:rPr>
        <w:t xml:space="preserve"> </w:t>
      </w:r>
      <w:proofErr w:type="spellStart"/>
      <w:r w:rsidRPr="00202685">
        <w:rPr>
          <w:i/>
        </w:rPr>
        <w:t>Guidelines</w:t>
      </w:r>
      <w:proofErr w:type="spellEnd"/>
      <w:r w:rsidRPr="00202685">
        <w:rPr>
          <w:i/>
        </w:rPr>
        <w:t xml:space="preserve"> </w:t>
      </w:r>
      <w:proofErr w:type="spellStart"/>
      <w:r w:rsidRPr="00202685">
        <w:rPr>
          <w:i/>
        </w:rPr>
        <w:t>for</w:t>
      </w:r>
      <w:proofErr w:type="spellEnd"/>
      <w:r w:rsidRPr="00202685">
        <w:rPr>
          <w:i/>
        </w:rPr>
        <w:t xml:space="preserve"> </w:t>
      </w:r>
      <w:proofErr w:type="spellStart"/>
      <w:r w:rsidRPr="00202685">
        <w:rPr>
          <w:i/>
        </w:rPr>
        <w:t>Europe</w:t>
      </w:r>
      <w:proofErr w:type="spellEnd"/>
      <w:r w:rsidRPr="00202685">
        <w:rPr>
          <w:i/>
        </w:rPr>
        <w:t xml:space="preserve">, 2th </w:t>
      </w:r>
      <w:proofErr w:type="spellStart"/>
      <w:r w:rsidRPr="00202685">
        <w:rPr>
          <w:i/>
        </w:rPr>
        <w:t>edition</w:t>
      </w:r>
      <w:proofErr w:type="spellEnd"/>
      <w:r w:rsidRPr="00202685">
        <w:rPr>
          <w:i/>
        </w:rPr>
        <w:t xml:space="preserve">, z internetových stránek WHO a z dalších zdrojů (US EPA, HEAST ….). </w:t>
      </w:r>
    </w:p>
    <w:p w14:paraId="45161F34" w14:textId="77777777" w:rsidR="00552610" w:rsidRPr="00202685" w:rsidRDefault="00552610" w:rsidP="00552610">
      <w:pPr>
        <w:spacing w:before="120"/>
        <w:ind w:right="-1"/>
        <w:jc w:val="both"/>
        <w:rPr>
          <w:i/>
        </w:rPr>
      </w:pPr>
      <w:proofErr w:type="spellStart"/>
      <w:r w:rsidRPr="00202685">
        <w:rPr>
          <w:i/>
        </w:rPr>
        <w:t>Pozn</w:t>
      </w:r>
      <w:proofErr w:type="spellEnd"/>
      <w:r w:rsidRPr="00202685">
        <w:rPr>
          <w:i/>
        </w:rPr>
        <w:t xml:space="preserve">: benzen (BENZ), </w:t>
      </w:r>
      <w:proofErr w:type="spellStart"/>
      <w:r w:rsidRPr="00202685">
        <w:rPr>
          <w:i/>
        </w:rPr>
        <w:t>Benzo</w:t>
      </w:r>
      <w:proofErr w:type="spellEnd"/>
      <w:r w:rsidRPr="00202685">
        <w:rPr>
          <w:i/>
        </w:rPr>
        <w:t>[a]antracen (</w:t>
      </w:r>
      <w:proofErr w:type="spellStart"/>
      <w:r w:rsidRPr="00202685">
        <w:rPr>
          <w:i/>
        </w:rPr>
        <w:t>BaA</w:t>
      </w:r>
      <w:proofErr w:type="spellEnd"/>
      <w:r w:rsidRPr="00202685">
        <w:rPr>
          <w:i/>
        </w:rPr>
        <w:t xml:space="preserve">), </w:t>
      </w:r>
      <w:proofErr w:type="spellStart"/>
      <w:r w:rsidRPr="00202685">
        <w:rPr>
          <w:i/>
        </w:rPr>
        <w:t>chrysen</w:t>
      </w:r>
      <w:proofErr w:type="spellEnd"/>
      <w:r w:rsidRPr="00202685">
        <w:rPr>
          <w:i/>
        </w:rPr>
        <w:t xml:space="preserve"> (CRY), </w:t>
      </w:r>
      <w:proofErr w:type="spellStart"/>
      <w:r w:rsidRPr="00202685">
        <w:rPr>
          <w:i/>
        </w:rPr>
        <w:t>benzo</w:t>
      </w:r>
      <w:proofErr w:type="spellEnd"/>
      <w:r w:rsidRPr="00202685">
        <w:rPr>
          <w:i/>
        </w:rPr>
        <w:t>[b]</w:t>
      </w:r>
      <w:proofErr w:type="spellStart"/>
      <w:r w:rsidRPr="00202685">
        <w:rPr>
          <w:i/>
        </w:rPr>
        <w:t>fluoranten</w:t>
      </w:r>
      <w:proofErr w:type="spellEnd"/>
      <w:r w:rsidRPr="00202685">
        <w:rPr>
          <w:i/>
        </w:rPr>
        <w:t xml:space="preserve"> (</w:t>
      </w:r>
      <w:proofErr w:type="spellStart"/>
      <w:r w:rsidRPr="00202685">
        <w:rPr>
          <w:i/>
        </w:rPr>
        <w:t>BbF</w:t>
      </w:r>
      <w:proofErr w:type="spellEnd"/>
      <w:r w:rsidRPr="00202685">
        <w:rPr>
          <w:i/>
        </w:rPr>
        <w:t xml:space="preserve">), </w:t>
      </w:r>
      <w:proofErr w:type="spellStart"/>
      <w:r w:rsidRPr="00202685">
        <w:rPr>
          <w:i/>
        </w:rPr>
        <w:t>benzo</w:t>
      </w:r>
      <w:proofErr w:type="spellEnd"/>
      <w:r w:rsidRPr="00202685">
        <w:rPr>
          <w:i/>
        </w:rPr>
        <w:t>[j]</w:t>
      </w:r>
      <w:proofErr w:type="spellStart"/>
      <w:r w:rsidRPr="00202685">
        <w:rPr>
          <w:i/>
        </w:rPr>
        <w:t>fluoranthen</w:t>
      </w:r>
      <w:proofErr w:type="spellEnd"/>
      <w:r w:rsidRPr="00202685">
        <w:rPr>
          <w:i/>
        </w:rPr>
        <w:t xml:space="preserve"> (</w:t>
      </w:r>
      <w:proofErr w:type="spellStart"/>
      <w:r w:rsidRPr="00202685">
        <w:rPr>
          <w:i/>
        </w:rPr>
        <w:t>BjF</w:t>
      </w:r>
      <w:proofErr w:type="spellEnd"/>
      <w:r w:rsidRPr="00202685">
        <w:rPr>
          <w:i/>
        </w:rPr>
        <w:t xml:space="preserve">), </w:t>
      </w:r>
      <w:proofErr w:type="spellStart"/>
      <w:r w:rsidRPr="00202685">
        <w:rPr>
          <w:i/>
        </w:rPr>
        <w:t>benzo</w:t>
      </w:r>
      <w:proofErr w:type="spellEnd"/>
      <w:r w:rsidRPr="00202685">
        <w:rPr>
          <w:i/>
        </w:rPr>
        <w:t>[k]</w:t>
      </w:r>
      <w:proofErr w:type="spellStart"/>
      <w:r w:rsidRPr="00202685">
        <w:rPr>
          <w:i/>
        </w:rPr>
        <w:t>fluoranten</w:t>
      </w:r>
      <w:proofErr w:type="spellEnd"/>
      <w:r w:rsidRPr="00202685">
        <w:rPr>
          <w:i/>
        </w:rPr>
        <w:t xml:space="preserve"> (</w:t>
      </w:r>
      <w:proofErr w:type="spellStart"/>
      <w:r w:rsidRPr="00202685">
        <w:rPr>
          <w:i/>
        </w:rPr>
        <w:t>BkF</w:t>
      </w:r>
      <w:proofErr w:type="spellEnd"/>
      <w:r w:rsidRPr="00202685">
        <w:rPr>
          <w:i/>
        </w:rPr>
        <w:t xml:space="preserve">), </w:t>
      </w:r>
      <w:proofErr w:type="spellStart"/>
      <w:r w:rsidRPr="00202685">
        <w:rPr>
          <w:i/>
        </w:rPr>
        <w:t>benzo</w:t>
      </w:r>
      <w:proofErr w:type="spellEnd"/>
      <w:r w:rsidRPr="00202685">
        <w:rPr>
          <w:i/>
        </w:rPr>
        <w:t xml:space="preserve">[a]pyren (BaP), </w:t>
      </w:r>
      <w:proofErr w:type="spellStart"/>
      <w:r w:rsidRPr="00202685">
        <w:rPr>
          <w:i/>
        </w:rPr>
        <w:t>benzo</w:t>
      </w:r>
      <w:proofErr w:type="spellEnd"/>
      <w:r w:rsidRPr="00202685">
        <w:rPr>
          <w:i/>
        </w:rPr>
        <w:t>[</w:t>
      </w:r>
      <w:proofErr w:type="spellStart"/>
      <w:r w:rsidRPr="00202685">
        <w:rPr>
          <w:i/>
        </w:rPr>
        <w:t>g,h,i</w:t>
      </w:r>
      <w:proofErr w:type="spellEnd"/>
      <w:r w:rsidRPr="00202685">
        <w:rPr>
          <w:i/>
        </w:rPr>
        <w:t>]</w:t>
      </w:r>
      <w:proofErr w:type="spellStart"/>
      <w:r w:rsidRPr="00202685">
        <w:rPr>
          <w:i/>
        </w:rPr>
        <w:t>perylen</w:t>
      </w:r>
      <w:proofErr w:type="spellEnd"/>
      <w:r w:rsidRPr="00202685">
        <w:rPr>
          <w:i/>
        </w:rPr>
        <w:t xml:space="preserve"> (</w:t>
      </w:r>
      <w:proofErr w:type="spellStart"/>
      <w:r w:rsidRPr="00202685">
        <w:rPr>
          <w:i/>
        </w:rPr>
        <w:t>BghiP</w:t>
      </w:r>
      <w:proofErr w:type="spellEnd"/>
      <w:r w:rsidRPr="00202685">
        <w:rPr>
          <w:i/>
        </w:rPr>
        <w:t xml:space="preserve">), </w:t>
      </w:r>
      <w:proofErr w:type="spellStart"/>
      <w:proofErr w:type="gramStart"/>
      <w:r w:rsidRPr="00202685">
        <w:rPr>
          <w:i/>
        </w:rPr>
        <w:t>dibenz</w:t>
      </w:r>
      <w:proofErr w:type="spellEnd"/>
      <w:r w:rsidRPr="00202685">
        <w:rPr>
          <w:i/>
        </w:rPr>
        <w:t>[</w:t>
      </w:r>
      <w:proofErr w:type="spellStart"/>
      <w:r w:rsidRPr="00202685">
        <w:rPr>
          <w:i/>
        </w:rPr>
        <w:t>a,h</w:t>
      </w:r>
      <w:proofErr w:type="spellEnd"/>
      <w:r w:rsidRPr="00202685">
        <w:rPr>
          <w:i/>
        </w:rPr>
        <w:t>]antracen</w:t>
      </w:r>
      <w:proofErr w:type="gramEnd"/>
      <w:r w:rsidRPr="00202685">
        <w:rPr>
          <w:i/>
        </w:rPr>
        <w:t xml:space="preserve"> (</w:t>
      </w:r>
      <w:proofErr w:type="spellStart"/>
      <w:r w:rsidRPr="00202685">
        <w:rPr>
          <w:i/>
        </w:rPr>
        <w:t>DbahA</w:t>
      </w:r>
      <w:proofErr w:type="spellEnd"/>
      <w:r w:rsidRPr="00202685">
        <w:rPr>
          <w:i/>
        </w:rPr>
        <w:t xml:space="preserve">), </w:t>
      </w:r>
      <w:proofErr w:type="spellStart"/>
      <w:r w:rsidRPr="00202685">
        <w:rPr>
          <w:i/>
        </w:rPr>
        <w:t>indeno</w:t>
      </w:r>
      <w:proofErr w:type="spellEnd"/>
      <w:r w:rsidRPr="00202685">
        <w:rPr>
          <w:i/>
        </w:rPr>
        <w:t>[1,2,3-c,d]pyren (I123cdP)</w:t>
      </w:r>
    </w:p>
    <w:p w14:paraId="048BA191" w14:textId="65ECBAF8" w:rsidR="00552610" w:rsidRDefault="00552610" w:rsidP="00471D7C">
      <w:pPr>
        <w:spacing w:before="120"/>
        <w:jc w:val="both"/>
        <w:rPr>
          <w:color w:val="auto"/>
          <w:sz w:val="22"/>
          <w:szCs w:val="22"/>
        </w:rPr>
      </w:pPr>
      <w:r w:rsidRPr="005366A5">
        <w:rPr>
          <w:color w:val="auto"/>
          <w:sz w:val="22"/>
          <w:szCs w:val="22"/>
        </w:rPr>
        <w:t xml:space="preserve">Pro Českou republiku a pro každý typ městské lokality bylo pro rok 2022 z ročních aritmetických průměrů z měřicích stanic vypočteno riziko odvozené z expozice jednotlivým látkám. </w:t>
      </w:r>
      <w:r w:rsidR="00202685">
        <w:rPr>
          <w:color w:val="auto"/>
          <w:sz w:val="22"/>
          <w:szCs w:val="22"/>
        </w:rPr>
        <w:t>Uváděné c</w:t>
      </w:r>
      <w:r w:rsidRPr="005366A5">
        <w:rPr>
          <w:color w:val="auto"/>
          <w:sz w:val="22"/>
          <w:szCs w:val="22"/>
        </w:rPr>
        <w:t xml:space="preserve">elkové karcinogenní riziko je součtem těchto dílčích rizik.  </w:t>
      </w:r>
    </w:p>
    <w:p w14:paraId="5D9947C1" w14:textId="77777777" w:rsidR="00471D7C" w:rsidRDefault="00471D7C" w:rsidP="00471D7C">
      <w:pPr>
        <w:spacing w:before="120"/>
        <w:jc w:val="both"/>
        <w:rPr>
          <w:rFonts w:eastAsia="Times New Roman" w:cs="Times New Roman"/>
          <w:b/>
          <w:bCs/>
          <w:sz w:val="24"/>
          <w:szCs w:val="24"/>
          <w:lang w:eastAsia="cs-CZ"/>
        </w:rPr>
      </w:pPr>
    </w:p>
    <w:p w14:paraId="097C12C0" w14:textId="78A6B7FF" w:rsidR="00471D7C" w:rsidRPr="0079316B" w:rsidRDefault="00471D7C" w:rsidP="00471D7C">
      <w:pPr>
        <w:pStyle w:val="Nadpis2"/>
        <w:keepLines w:val="0"/>
        <w:numPr>
          <w:ilvl w:val="0"/>
          <w:numId w:val="13"/>
        </w:numPr>
        <w:autoSpaceDE/>
        <w:autoSpaceDN/>
        <w:adjustRightInd/>
        <w:spacing w:before="0" w:line="240" w:lineRule="auto"/>
        <w:textAlignment w:val="auto"/>
        <w:rPr>
          <w:sz w:val="28"/>
          <w:szCs w:val="28"/>
        </w:rPr>
      </w:pPr>
      <w:r>
        <w:rPr>
          <w:sz w:val="28"/>
          <w:szCs w:val="28"/>
        </w:rPr>
        <w:t xml:space="preserve">Vyhodnocení zdravotních </w:t>
      </w:r>
      <w:r w:rsidRPr="0079316B">
        <w:rPr>
          <w:sz w:val="28"/>
          <w:szCs w:val="28"/>
        </w:rPr>
        <w:t>rizik</w:t>
      </w:r>
      <w:r>
        <w:rPr>
          <w:sz w:val="28"/>
          <w:szCs w:val="28"/>
        </w:rPr>
        <w:t xml:space="preserve"> pro sledované škodliviny</w:t>
      </w:r>
    </w:p>
    <w:p w14:paraId="6E6C1F2B" w14:textId="77777777" w:rsidR="00471D7C" w:rsidRDefault="00471D7C" w:rsidP="005041D0">
      <w:pPr>
        <w:pStyle w:val="DefaultText1"/>
        <w:jc w:val="center"/>
        <w:rPr>
          <w:rFonts w:ascii="Mulish" w:hAnsi="Mulish"/>
          <w:b/>
        </w:rPr>
      </w:pPr>
    </w:p>
    <w:p w14:paraId="588D0C30" w14:textId="77CF587F" w:rsidR="00471D7C" w:rsidRDefault="00471D7C" w:rsidP="00471D7C">
      <w:pPr>
        <w:spacing w:before="120" w:after="120" w:line="276" w:lineRule="auto"/>
        <w:jc w:val="both"/>
        <w:rPr>
          <w:sz w:val="22"/>
          <w:szCs w:val="22"/>
        </w:rPr>
      </w:pPr>
      <w:r>
        <w:rPr>
          <w:color w:val="auto"/>
          <w:sz w:val="22"/>
          <w:szCs w:val="22"/>
        </w:rPr>
        <w:t>Z</w:t>
      </w:r>
      <w:r w:rsidRPr="00F37CA6">
        <w:rPr>
          <w:color w:val="auto"/>
          <w:sz w:val="22"/>
          <w:szCs w:val="22"/>
        </w:rPr>
        <w:t xml:space="preserve">nečištění ovzduší oxidem uhelnatým a oxidem siřičitým nepředstavuje v měřených městech zdravotní riziko, a to i když v případě oxidu siřičitého práh účinku pro 24hod. koncentraci nebyl epidemiologickými studiemi dosud zjištěn. V roce 2022 bylo na stanicích v ČR naměřeno </w:t>
      </w:r>
      <w:r>
        <w:rPr>
          <w:color w:val="auto"/>
          <w:sz w:val="22"/>
          <w:szCs w:val="22"/>
        </w:rPr>
        <w:br/>
      </w:r>
      <w:r w:rsidRPr="00F37CA6">
        <w:rPr>
          <w:color w:val="auto"/>
          <w:sz w:val="22"/>
          <w:szCs w:val="22"/>
        </w:rPr>
        <w:t>7 24hodinových koncentrací SO</w:t>
      </w:r>
      <w:r w:rsidRPr="00F37CA6">
        <w:rPr>
          <w:color w:val="auto"/>
          <w:sz w:val="22"/>
          <w:szCs w:val="22"/>
          <w:vertAlign w:val="subscript"/>
        </w:rPr>
        <w:t>2</w:t>
      </w:r>
      <w:r w:rsidRPr="00F37CA6">
        <w:rPr>
          <w:color w:val="auto"/>
          <w:sz w:val="22"/>
          <w:szCs w:val="22"/>
        </w:rPr>
        <w:t xml:space="preserve"> nad 40 µg/m</w:t>
      </w:r>
      <w:r w:rsidRPr="00F37CA6">
        <w:rPr>
          <w:color w:val="auto"/>
          <w:sz w:val="22"/>
          <w:szCs w:val="22"/>
          <w:vertAlign w:val="superscript"/>
        </w:rPr>
        <w:t>3</w:t>
      </w:r>
      <w:r w:rsidRPr="00F37CA6">
        <w:rPr>
          <w:color w:val="auto"/>
          <w:sz w:val="22"/>
          <w:szCs w:val="22"/>
        </w:rPr>
        <w:t xml:space="preserve">/24 hodin (z toho 3 na stanici Lom u Mostu); </w:t>
      </w:r>
      <w:r>
        <w:rPr>
          <w:color w:val="auto"/>
          <w:sz w:val="22"/>
          <w:szCs w:val="22"/>
        </w:rPr>
        <w:br/>
      </w:r>
      <w:r w:rsidRPr="00F37CA6">
        <w:rPr>
          <w:color w:val="auto"/>
          <w:sz w:val="22"/>
          <w:szCs w:val="22"/>
        </w:rPr>
        <w:t>40 µg/m</w:t>
      </w:r>
      <w:r w:rsidRPr="00F37CA6">
        <w:rPr>
          <w:color w:val="auto"/>
          <w:sz w:val="22"/>
          <w:szCs w:val="22"/>
          <w:vertAlign w:val="superscript"/>
        </w:rPr>
        <w:t>3</w:t>
      </w:r>
      <w:r w:rsidRPr="00F37CA6">
        <w:rPr>
          <w:color w:val="auto"/>
          <w:sz w:val="22"/>
          <w:szCs w:val="22"/>
        </w:rPr>
        <w:t xml:space="preserve"> přitom představuje cílovou hodnotu doporučenou WHO, stanovenou s vysokou mírou předběžné opatrnosti. U oxidu uhelnatého v roce 2022 pouze na jedné stanici překročila hodnota ročního průměru 400 µg/m</w:t>
      </w:r>
      <w:r w:rsidRPr="00F37CA6">
        <w:rPr>
          <w:color w:val="auto"/>
          <w:sz w:val="22"/>
          <w:szCs w:val="22"/>
          <w:vertAlign w:val="superscript"/>
        </w:rPr>
        <w:t>3</w:t>
      </w:r>
      <w:r w:rsidRPr="00F37CA6">
        <w:rPr>
          <w:color w:val="auto"/>
          <w:sz w:val="22"/>
          <w:szCs w:val="22"/>
        </w:rPr>
        <w:t xml:space="preserve"> (478 µg/m</w:t>
      </w:r>
      <w:r w:rsidRPr="00F37CA6">
        <w:rPr>
          <w:color w:val="auto"/>
          <w:sz w:val="22"/>
          <w:szCs w:val="22"/>
          <w:vertAlign w:val="superscript"/>
        </w:rPr>
        <w:t>3</w:t>
      </w:r>
      <w:r w:rsidRPr="00F37CA6">
        <w:rPr>
          <w:color w:val="auto"/>
          <w:sz w:val="22"/>
          <w:szCs w:val="22"/>
        </w:rPr>
        <w:t xml:space="preserve"> na stanici v Praze - Legerova).  24 hodinové hodnoty překračující 1 000 µg/m</w:t>
      </w:r>
      <w:r w:rsidRPr="00F37CA6">
        <w:rPr>
          <w:color w:val="auto"/>
          <w:sz w:val="22"/>
          <w:szCs w:val="22"/>
          <w:vertAlign w:val="superscript"/>
        </w:rPr>
        <w:t>3</w:t>
      </w:r>
      <w:r w:rsidRPr="00F37CA6">
        <w:rPr>
          <w:color w:val="auto"/>
          <w:sz w:val="22"/>
          <w:szCs w:val="22"/>
        </w:rPr>
        <w:t xml:space="preserve"> byly výjimečné – pouze čtyři za rok a pouze na dopravně extrémně zatížených stanicích - dopravních „hot-spotech“</w:t>
      </w:r>
      <w:r>
        <w:rPr>
          <w:color w:val="auto"/>
          <w:sz w:val="22"/>
          <w:szCs w:val="22"/>
        </w:rPr>
        <w:t>.</w:t>
      </w:r>
    </w:p>
    <w:p w14:paraId="55EE60D0" w14:textId="3883A8B5" w:rsidR="00471D7C" w:rsidRPr="00202685" w:rsidRDefault="00471D7C" w:rsidP="00471D7C">
      <w:pPr>
        <w:spacing w:before="120" w:after="120" w:line="276" w:lineRule="auto"/>
        <w:jc w:val="both"/>
        <w:rPr>
          <w:sz w:val="22"/>
          <w:szCs w:val="22"/>
        </w:rPr>
      </w:pPr>
      <w:r w:rsidRPr="00202685">
        <w:rPr>
          <w:sz w:val="22"/>
          <w:szCs w:val="22"/>
        </w:rPr>
        <w:t>Proto byly ze sledovaných  ukazatelů znečištění ovzduší do tohoto hodnocení zahrnuty suspendované částice frakce PM</w:t>
      </w:r>
      <w:r w:rsidRPr="00202685">
        <w:rPr>
          <w:sz w:val="22"/>
          <w:szCs w:val="22"/>
          <w:vertAlign w:val="subscript"/>
        </w:rPr>
        <w:t>10</w:t>
      </w:r>
      <w:r w:rsidRPr="00202685">
        <w:rPr>
          <w:sz w:val="22"/>
          <w:szCs w:val="22"/>
        </w:rPr>
        <w:t xml:space="preserve"> a PM</w:t>
      </w:r>
      <w:r w:rsidRPr="00202685">
        <w:rPr>
          <w:sz w:val="22"/>
          <w:szCs w:val="22"/>
          <w:vertAlign w:val="subscript"/>
        </w:rPr>
        <w:t>2,5</w:t>
      </w:r>
      <w:r w:rsidRPr="00202685">
        <w:rPr>
          <w:sz w:val="22"/>
          <w:szCs w:val="22"/>
        </w:rPr>
        <w:t xml:space="preserve">, oxid dusičitý, ozón a škodliviny s karcinogenním účinkem, pro které byla definována míra karcinogenního potenciálu – arsen (As), nikl (Ni), kadmium (Cd), benzen a </w:t>
      </w:r>
      <w:proofErr w:type="spellStart"/>
      <w:r w:rsidRPr="00202685">
        <w:rPr>
          <w:sz w:val="22"/>
          <w:szCs w:val="22"/>
        </w:rPr>
        <w:t>benzo</w:t>
      </w:r>
      <w:proofErr w:type="spellEnd"/>
      <w:r w:rsidRPr="00202685">
        <w:rPr>
          <w:sz w:val="22"/>
          <w:szCs w:val="22"/>
        </w:rPr>
        <w:t>[</w:t>
      </w:r>
      <w:r w:rsidRPr="00202685">
        <w:rPr>
          <w:i/>
          <w:sz w:val="22"/>
          <w:szCs w:val="22"/>
        </w:rPr>
        <w:t>a</w:t>
      </w:r>
      <w:r w:rsidRPr="00202685">
        <w:rPr>
          <w:sz w:val="22"/>
          <w:szCs w:val="22"/>
        </w:rPr>
        <w:t xml:space="preserve">]pyren (BaP). Když v případě polycyklických aromatických uhlovodíků je </w:t>
      </w:r>
      <w:proofErr w:type="spellStart"/>
      <w:r w:rsidRPr="00202685">
        <w:rPr>
          <w:sz w:val="22"/>
          <w:szCs w:val="22"/>
        </w:rPr>
        <w:t>benzo</w:t>
      </w:r>
      <w:proofErr w:type="spellEnd"/>
      <w:r w:rsidRPr="00202685">
        <w:rPr>
          <w:sz w:val="22"/>
          <w:szCs w:val="22"/>
        </w:rPr>
        <w:t>[</w:t>
      </w:r>
      <w:r w:rsidRPr="00202685">
        <w:rPr>
          <w:i/>
          <w:sz w:val="22"/>
          <w:szCs w:val="22"/>
        </w:rPr>
        <w:t>a</w:t>
      </w:r>
      <w:r w:rsidRPr="00202685">
        <w:rPr>
          <w:sz w:val="22"/>
          <w:szCs w:val="22"/>
        </w:rPr>
        <w:t>]pyren (BaP) považován za indikátor karcinogenního potenciálu hodnocené směsi PAU.</w:t>
      </w:r>
    </w:p>
    <w:p w14:paraId="7AE0D35C" w14:textId="3E5820C8" w:rsidR="00471D7C" w:rsidRDefault="00471D7C" w:rsidP="00471D7C">
      <w:pPr>
        <w:pStyle w:val="DefaultText1"/>
        <w:jc w:val="both"/>
        <w:rPr>
          <w:rFonts w:ascii="Mulish" w:hAnsi="Mulish"/>
          <w:b/>
        </w:rPr>
      </w:pPr>
    </w:p>
    <w:p w14:paraId="4BF836F8" w14:textId="77777777" w:rsidR="00471D7C" w:rsidRDefault="00471D7C">
      <w:pPr>
        <w:autoSpaceDE/>
        <w:autoSpaceDN/>
        <w:adjustRightInd/>
        <w:spacing w:after="160" w:line="259" w:lineRule="auto"/>
        <w:textAlignment w:val="auto"/>
        <w:rPr>
          <w:rFonts w:eastAsia="Times New Roman" w:cs="Times New Roman"/>
          <w:b/>
          <w:color w:val="auto"/>
          <w:sz w:val="24"/>
          <w:szCs w:val="24"/>
          <w:lang w:eastAsia="cs-CZ"/>
        </w:rPr>
      </w:pPr>
      <w:r>
        <w:rPr>
          <w:b/>
        </w:rPr>
        <w:br w:type="page"/>
      </w:r>
    </w:p>
    <w:p w14:paraId="3CCCFBD7" w14:textId="5C628E41" w:rsidR="005041D0" w:rsidRPr="00083801" w:rsidRDefault="005041D0" w:rsidP="005041D0">
      <w:pPr>
        <w:pStyle w:val="DefaultText1"/>
        <w:jc w:val="center"/>
        <w:rPr>
          <w:rFonts w:ascii="Mulish" w:hAnsi="Mulish"/>
          <w:b/>
        </w:rPr>
      </w:pPr>
      <w:r w:rsidRPr="00083801">
        <w:rPr>
          <w:rFonts w:ascii="Mulish" w:hAnsi="Mulish"/>
          <w:b/>
        </w:rPr>
        <w:lastRenderedPageBreak/>
        <w:t>Ozón</w:t>
      </w:r>
    </w:p>
    <w:p w14:paraId="70C882E3" w14:textId="10325E54" w:rsidR="005041D0" w:rsidRPr="003B66EE" w:rsidRDefault="005041D0" w:rsidP="005041D0">
      <w:pPr>
        <w:spacing w:before="120" w:line="276" w:lineRule="auto"/>
        <w:jc w:val="both"/>
        <w:rPr>
          <w:color w:val="auto"/>
          <w:sz w:val="22"/>
          <w:szCs w:val="22"/>
        </w:rPr>
      </w:pPr>
      <w:r w:rsidRPr="003B66EE">
        <w:rPr>
          <w:color w:val="auto"/>
          <w:sz w:val="22"/>
          <w:szCs w:val="22"/>
        </w:rPr>
        <w:t>Chronická expozice ozónu zvyšuje četnost hospitalizací pro zhoršení astmatu u dětí a pro akutní zhoršení kardiovaskulárních a respirač</w:t>
      </w:r>
      <w:r>
        <w:rPr>
          <w:color w:val="auto"/>
          <w:sz w:val="22"/>
          <w:szCs w:val="22"/>
        </w:rPr>
        <w:t>ních onemocnění u starších osob</w:t>
      </w:r>
      <w:r w:rsidRPr="003B66EE">
        <w:rPr>
          <w:color w:val="auto"/>
          <w:sz w:val="22"/>
          <w:szCs w:val="22"/>
        </w:rPr>
        <w:t xml:space="preserve">. Krátkodobá </w:t>
      </w:r>
      <w:r>
        <w:rPr>
          <w:color w:val="auto"/>
          <w:sz w:val="22"/>
          <w:szCs w:val="22"/>
        </w:rPr>
        <w:br/>
      </w:r>
      <w:r w:rsidRPr="003B66EE">
        <w:rPr>
          <w:color w:val="auto"/>
          <w:sz w:val="22"/>
          <w:szCs w:val="22"/>
        </w:rPr>
        <w:t xml:space="preserve">i dlouhodobá expozice ozónu ovlivňuje respirační nemocnost a úmrtnost. Pro hodnocení dlouhodobé expozice ozónu je </w:t>
      </w:r>
      <w:r w:rsidR="00F12415">
        <w:rPr>
          <w:color w:val="auto"/>
          <w:sz w:val="22"/>
          <w:szCs w:val="22"/>
        </w:rPr>
        <w:t xml:space="preserve">běžně </w:t>
      </w:r>
      <w:r w:rsidRPr="003B66EE">
        <w:rPr>
          <w:color w:val="auto"/>
          <w:sz w:val="22"/>
          <w:szCs w:val="22"/>
        </w:rPr>
        <w:t xml:space="preserve">používán </w:t>
      </w:r>
      <w:r w:rsidR="00F12415">
        <w:rPr>
          <w:color w:val="auto"/>
          <w:sz w:val="22"/>
          <w:szCs w:val="22"/>
        </w:rPr>
        <w:t>ukazatel</w:t>
      </w:r>
      <w:r w:rsidRPr="003B66EE">
        <w:rPr>
          <w:color w:val="auto"/>
          <w:sz w:val="22"/>
          <w:szCs w:val="22"/>
        </w:rPr>
        <w:t xml:space="preserve"> </w:t>
      </w:r>
      <w:r w:rsidRPr="003B66EE">
        <w:rPr>
          <w:b/>
          <w:color w:val="auto"/>
          <w:sz w:val="22"/>
          <w:szCs w:val="22"/>
        </w:rPr>
        <w:t>SOMO35</w:t>
      </w:r>
      <w:r w:rsidRPr="003B66EE">
        <w:rPr>
          <w:color w:val="auto"/>
          <w:sz w:val="22"/>
          <w:szCs w:val="22"/>
        </w:rPr>
        <w:t>, definovaný jako roční součet denních nejvyšších hodnot 8hod. klouzavého průměru, překračujících koncentraci 70 µg/m</w:t>
      </w:r>
      <w:r w:rsidRPr="003B66EE">
        <w:rPr>
          <w:color w:val="auto"/>
          <w:sz w:val="22"/>
          <w:szCs w:val="22"/>
          <w:vertAlign w:val="superscript"/>
        </w:rPr>
        <w:t>3</w:t>
      </w:r>
      <w:r w:rsidRPr="003B66EE">
        <w:rPr>
          <w:color w:val="auto"/>
          <w:sz w:val="22"/>
          <w:szCs w:val="22"/>
        </w:rPr>
        <w:t xml:space="preserve">. </w:t>
      </w:r>
      <w:r w:rsidR="00F12415">
        <w:rPr>
          <w:color w:val="auto"/>
          <w:sz w:val="22"/>
          <w:szCs w:val="22"/>
        </w:rPr>
        <w:t>(</w:t>
      </w:r>
      <w:r w:rsidRPr="003B66EE">
        <w:rPr>
          <w:color w:val="auto"/>
          <w:sz w:val="22"/>
          <w:szCs w:val="22"/>
        </w:rPr>
        <w:t xml:space="preserve">Pro každý den </w:t>
      </w:r>
      <w:r w:rsidR="00F12415">
        <w:rPr>
          <w:color w:val="auto"/>
          <w:sz w:val="22"/>
          <w:szCs w:val="22"/>
        </w:rPr>
        <w:t>je</w:t>
      </w:r>
      <w:r w:rsidRPr="003B66EE">
        <w:rPr>
          <w:color w:val="auto"/>
          <w:sz w:val="22"/>
          <w:szCs w:val="22"/>
        </w:rPr>
        <w:t xml:space="preserve"> vybráno maximum klouzavého 8hodinového průměru a hodnoty nad 70 µg/m</w:t>
      </w:r>
      <w:r w:rsidRPr="003B66EE">
        <w:rPr>
          <w:color w:val="auto"/>
          <w:sz w:val="22"/>
          <w:szCs w:val="22"/>
          <w:vertAlign w:val="superscript"/>
        </w:rPr>
        <w:t>3</w:t>
      </w:r>
      <w:r w:rsidRPr="003B66EE">
        <w:rPr>
          <w:color w:val="auto"/>
          <w:sz w:val="22"/>
          <w:szCs w:val="22"/>
        </w:rPr>
        <w:t xml:space="preserve"> se sečtou za celý rok.</w:t>
      </w:r>
      <w:r w:rsidR="00F12415">
        <w:rPr>
          <w:color w:val="auto"/>
          <w:sz w:val="22"/>
          <w:szCs w:val="22"/>
        </w:rPr>
        <w:t>)</w:t>
      </w:r>
      <w:r w:rsidRPr="003B66EE">
        <w:rPr>
          <w:color w:val="auto"/>
          <w:sz w:val="22"/>
          <w:szCs w:val="22"/>
        </w:rPr>
        <w:t xml:space="preserve"> </w:t>
      </w:r>
    </w:p>
    <w:p w14:paraId="57523B39" w14:textId="77777777" w:rsidR="005041D0" w:rsidRDefault="005041D0" w:rsidP="005041D0">
      <w:pPr>
        <w:spacing w:before="120" w:line="276" w:lineRule="auto"/>
        <w:jc w:val="both"/>
        <w:rPr>
          <w:color w:val="auto"/>
          <w:sz w:val="22"/>
          <w:szCs w:val="22"/>
        </w:rPr>
      </w:pPr>
      <w:r w:rsidRPr="003B66EE">
        <w:rPr>
          <w:color w:val="auto"/>
          <w:sz w:val="22"/>
          <w:szCs w:val="22"/>
        </w:rPr>
        <w:t>Pro odhad dopadů O</w:t>
      </w:r>
      <w:r w:rsidRPr="003B66EE">
        <w:rPr>
          <w:color w:val="auto"/>
          <w:sz w:val="22"/>
          <w:szCs w:val="22"/>
          <w:vertAlign w:val="subscript"/>
        </w:rPr>
        <w:t>3</w:t>
      </w:r>
      <w:r w:rsidRPr="003B66EE">
        <w:rPr>
          <w:color w:val="auto"/>
          <w:sz w:val="22"/>
          <w:szCs w:val="22"/>
        </w:rPr>
        <w:t xml:space="preserve"> na úmrtnost na respirační onemocnění u osob starších 30 let se používá koeficient relativního rizika RR = 1,014 (95% CI = 1,005, 1,024), který vyjadřuje zvýšení této úmrtnosti o 1,4 % na každých 10 </w:t>
      </w:r>
      <w:proofErr w:type="spellStart"/>
      <w:r w:rsidRPr="003B66EE">
        <w:rPr>
          <w:color w:val="auto"/>
          <w:sz w:val="22"/>
          <w:szCs w:val="22"/>
        </w:rPr>
        <w:t>μg</w:t>
      </w:r>
      <w:proofErr w:type="spellEnd"/>
      <w:r w:rsidRPr="003B66EE">
        <w:rPr>
          <w:color w:val="auto"/>
          <w:sz w:val="22"/>
          <w:szCs w:val="22"/>
        </w:rPr>
        <w:t>/m</w:t>
      </w:r>
      <w:r w:rsidRPr="003B66EE">
        <w:rPr>
          <w:color w:val="auto"/>
          <w:sz w:val="22"/>
          <w:szCs w:val="22"/>
          <w:vertAlign w:val="superscript"/>
        </w:rPr>
        <w:t>3</w:t>
      </w:r>
      <w:r w:rsidRPr="003B66EE">
        <w:rPr>
          <w:color w:val="auto"/>
          <w:sz w:val="22"/>
          <w:szCs w:val="22"/>
        </w:rPr>
        <w:t xml:space="preserve"> průměrné hodnoty maximálních denních 8 hodinových klouzavých průměrů O</w:t>
      </w:r>
      <w:r w:rsidRPr="003B66EE">
        <w:rPr>
          <w:color w:val="auto"/>
          <w:sz w:val="22"/>
          <w:szCs w:val="22"/>
          <w:vertAlign w:val="subscript"/>
        </w:rPr>
        <w:t>3</w:t>
      </w:r>
      <w:r w:rsidRPr="003B66EE">
        <w:rPr>
          <w:color w:val="auto"/>
          <w:sz w:val="22"/>
          <w:szCs w:val="22"/>
        </w:rPr>
        <w:t xml:space="preserve"> za období měsíců duben až září. Pro konečné výpočty byl použit volně aplikovatelný software </w:t>
      </w:r>
      <w:proofErr w:type="spellStart"/>
      <w:r w:rsidRPr="003B66EE">
        <w:rPr>
          <w:color w:val="auto"/>
          <w:sz w:val="22"/>
          <w:szCs w:val="22"/>
        </w:rPr>
        <w:t>AirQ</w:t>
      </w:r>
      <w:proofErr w:type="spellEnd"/>
      <w:r w:rsidRPr="003B66EE">
        <w:rPr>
          <w:color w:val="auto"/>
          <w:sz w:val="22"/>
          <w:szCs w:val="22"/>
        </w:rPr>
        <w:t xml:space="preserve">+, vyvinutý evropskou regionální úřadovnou WHO. Protože úmrtnostní data byla v minulých letech zásadně ovlivněna pandemií Covid-19, nelze provázat získaná koncentrační data s reálně exponovanou populací. Výstupem tohoto zpracování jsou tak hodnoty atributivního populačního rizika v procentech. </w:t>
      </w:r>
    </w:p>
    <w:p w14:paraId="2796521E" w14:textId="77777777" w:rsidR="005041D0" w:rsidRPr="00D66167" w:rsidRDefault="005041D0" w:rsidP="005041D0">
      <w:pPr>
        <w:pStyle w:val="DefaultText1"/>
        <w:jc w:val="both"/>
        <w:rPr>
          <w:rFonts w:ascii="Mulish" w:hAnsi="Mulish"/>
          <w:b/>
          <w:color w:val="FF0000"/>
          <w:sz w:val="22"/>
          <w:szCs w:val="22"/>
        </w:rPr>
      </w:pPr>
    </w:p>
    <w:p w14:paraId="6429CF66" w14:textId="77777777" w:rsidR="00AB69E5" w:rsidRDefault="00AB69E5" w:rsidP="00AB69E5">
      <w:pPr>
        <w:spacing w:before="120" w:line="276" w:lineRule="auto"/>
        <w:jc w:val="both"/>
        <w:rPr>
          <w:color w:val="FF0000"/>
          <w:sz w:val="22"/>
          <w:szCs w:val="22"/>
        </w:rPr>
      </w:pPr>
      <w:r w:rsidRPr="003B66EE">
        <w:rPr>
          <w:color w:val="auto"/>
          <w:sz w:val="22"/>
          <w:szCs w:val="22"/>
        </w:rPr>
        <w:t xml:space="preserve">Přízemní ozón není do atmosféry emitován, ale vzniká fotochemickými reakcemi oxidů dusíku </w:t>
      </w:r>
      <w:r>
        <w:rPr>
          <w:color w:val="auto"/>
          <w:sz w:val="22"/>
          <w:szCs w:val="22"/>
        </w:rPr>
        <w:br/>
      </w:r>
      <w:r w:rsidRPr="003B66EE">
        <w:rPr>
          <w:color w:val="auto"/>
          <w:sz w:val="22"/>
          <w:szCs w:val="22"/>
        </w:rPr>
        <w:t>a těkavých organických látek. Na pozaďových stanicích se v roce 2022 aritmetické průměry pohybovaly v rozmezí 64,0 až 75,6 µg/m</w:t>
      </w:r>
      <w:r w:rsidRPr="003B66EE">
        <w:rPr>
          <w:color w:val="auto"/>
          <w:sz w:val="22"/>
          <w:szCs w:val="22"/>
          <w:vertAlign w:val="superscript"/>
        </w:rPr>
        <w:t>3</w:t>
      </w:r>
      <w:r w:rsidRPr="003B66EE">
        <w:rPr>
          <w:color w:val="auto"/>
          <w:sz w:val="22"/>
          <w:szCs w:val="22"/>
        </w:rPr>
        <w:t>. V městských lokalitách byly v rozsahu od 40,2 µg/m</w:t>
      </w:r>
      <w:r w:rsidRPr="003B66EE">
        <w:rPr>
          <w:color w:val="auto"/>
          <w:sz w:val="22"/>
          <w:szCs w:val="22"/>
          <w:vertAlign w:val="superscript"/>
        </w:rPr>
        <w:t>3</w:t>
      </w:r>
      <w:r w:rsidRPr="003B66EE">
        <w:rPr>
          <w:color w:val="auto"/>
          <w:sz w:val="22"/>
          <w:szCs w:val="22"/>
        </w:rPr>
        <w:t xml:space="preserve"> na stanici v Praze 9 (AVYN), do 65,6 µg/m</w:t>
      </w:r>
      <w:r w:rsidRPr="003B66EE">
        <w:rPr>
          <w:color w:val="auto"/>
          <w:sz w:val="22"/>
          <w:szCs w:val="22"/>
          <w:vertAlign w:val="superscript"/>
        </w:rPr>
        <w:t>3</w:t>
      </w:r>
      <w:r w:rsidRPr="003B66EE">
        <w:rPr>
          <w:color w:val="auto"/>
          <w:sz w:val="22"/>
          <w:szCs w:val="22"/>
        </w:rPr>
        <w:t xml:space="preserve"> na stanici ve Frýdlantu (LFRT). Na 96 % stanic byla v roce 2022 alespoň jednou překročena hodnota 120 µg/m</w:t>
      </w:r>
      <w:r w:rsidRPr="003B66EE">
        <w:rPr>
          <w:color w:val="auto"/>
          <w:sz w:val="22"/>
          <w:szCs w:val="22"/>
          <w:vertAlign w:val="superscript"/>
        </w:rPr>
        <w:t>3</w:t>
      </w:r>
      <w:r w:rsidRPr="003B66EE">
        <w:rPr>
          <w:color w:val="auto"/>
          <w:sz w:val="22"/>
          <w:szCs w:val="22"/>
        </w:rPr>
        <w:t xml:space="preserve"> u denního 8hodinového klouzavého průměru.</w:t>
      </w:r>
      <w:r w:rsidRPr="003B66EE">
        <w:rPr>
          <w:color w:val="FF0000"/>
          <w:sz w:val="22"/>
          <w:szCs w:val="22"/>
        </w:rPr>
        <w:t xml:space="preserve"> </w:t>
      </w:r>
    </w:p>
    <w:p w14:paraId="61529E7C" w14:textId="5D1AFE84" w:rsidR="00AB69E5" w:rsidRPr="001507B2" w:rsidRDefault="00AB69E5" w:rsidP="00AB69E5">
      <w:pPr>
        <w:spacing w:before="120"/>
        <w:ind w:left="284"/>
        <w:jc w:val="both"/>
        <w:rPr>
          <w:color w:val="auto"/>
          <w:sz w:val="22"/>
          <w:szCs w:val="22"/>
        </w:rPr>
      </w:pPr>
      <w:r w:rsidRPr="001507B2">
        <w:rPr>
          <w:color w:val="auto"/>
          <w:sz w:val="22"/>
          <w:szCs w:val="22"/>
        </w:rPr>
        <w:t xml:space="preserve">Tabulka č. </w:t>
      </w:r>
      <w:r w:rsidRPr="001507B2">
        <w:rPr>
          <w:color w:val="auto"/>
          <w:sz w:val="22"/>
          <w:szCs w:val="22"/>
        </w:rPr>
        <w:fldChar w:fldCharType="begin"/>
      </w:r>
      <w:r w:rsidRPr="001507B2">
        <w:rPr>
          <w:color w:val="auto"/>
          <w:sz w:val="22"/>
          <w:szCs w:val="22"/>
        </w:rPr>
        <w:instrText xml:space="preserve"> SEQ Tabulka_č._ \* ARABIC </w:instrText>
      </w:r>
      <w:r w:rsidRPr="001507B2">
        <w:rPr>
          <w:color w:val="auto"/>
          <w:sz w:val="22"/>
          <w:szCs w:val="22"/>
        </w:rPr>
        <w:fldChar w:fldCharType="separate"/>
      </w:r>
      <w:r w:rsidR="00D30EF9">
        <w:rPr>
          <w:noProof/>
          <w:color w:val="auto"/>
          <w:sz w:val="22"/>
          <w:szCs w:val="22"/>
        </w:rPr>
        <w:t>3</w:t>
      </w:r>
      <w:r w:rsidRPr="001507B2">
        <w:rPr>
          <w:color w:val="auto"/>
          <w:sz w:val="22"/>
          <w:szCs w:val="22"/>
        </w:rPr>
        <w:fldChar w:fldCharType="end"/>
      </w:r>
      <w:r w:rsidRPr="001507B2">
        <w:rPr>
          <w:color w:val="auto"/>
          <w:sz w:val="22"/>
          <w:szCs w:val="22"/>
        </w:rPr>
        <w:t xml:space="preserve"> – </w:t>
      </w:r>
      <w:r>
        <w:rPr>
          <w:color w:val="auto"/>
          <w:sz w:val="22"/>
          <w:szCs w:val="22"/>
        </w:rPr>
        <w:t>2022 – ozón – hodnoty SOMO35 a odhad atributivního rizika v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2268"/>
        <w:gridCol w:w="2268"/>
        <w:gridCol w:w="2268"/>
      </w:tblGrid>
      <w:tr w:rsidR="00AB69E5" w:rsidRPr="00F273D6" w14:paraId="5946EB68" w14:textId="77777777" w:rsidTr="002E3DAB">
        <w:trPr>
          <w:jc w:val="center"/>
        </w:trPr>
        <w:tc>
          <w:tcPr>
            <w:tcW w:w="2077" w:type="dxa"/>
            <w:shd w:val="clear" w:color="auto" w:fill="B4C6E7" w:themeFill="accent1" w:themeFillTint="66"/>
          </w:tcPr>
          <w:p w14:paraId="3996DE1A" w14:textId="77777777" w:rsidR="00AB69E5" w:rsidRPr="003B66EE" w:rsidRDefault="00AB69E5" w:rsidP="002E3DAB">
            <w:pPr>
              <w:jc w:val="both"/>
              <w:rPr>
                <w:color w:val="000000"/>
              </w:rPr>
            </w:pPr>
            <w:r w:rsidRPr="003B66EE">
              <w:rPr>
                <w:color w:val="000000"/>
              </w:rPr>
              <w:t>Hodnoty SOMO35</w:t>
            </w:r>
          </w:p>
        </w:tc>
        <w:tc>
          <w:tcPr>
            <w:tcW w:w="2268" w:type="dxa"/>
            <w:shd w:val="clear" w:color="auto" w:fill="auto"/>
          </w:tcPr>
          <w:p w14:paraId="6BD36A3A" w14:textId="77777777" w:rsidR="00AB69E5" w:rsidRPr="003B66EE" w:rsidRDefault="00AB69E5" w:rsidP="002E3DAB">
            <w:pPr>
              <w:jc w:val="center"/>
              <w:rPr>
                <w:color w:val="000000"/>
              </w:rPr>
            </w:pPr>
            <w:r>
              <w:rPr>
                <w:color w:val="000000"/>
              </w:rPr>
              <w:t>M</w:t>
            </w:r>
            <w:r w:rsidRPr="003B66EE">
              <w:rPr>
                <w:color w:val="000000"/>
              </w:rPr>
              <w:t>in ČR = 1 680</w:t>
            </w:r>
          </w:p>
        </w:tc>
        <w:tc>
          <w:tcPr>
            <w:tcW w:w="2268" w:type="dxa"/>
            <w:shd w:val="clear" w:color="auto" w:fill="auto"/>
          </w:tcPr>
          <w:p w14:paraId="289F2AA8" w14:textId="77777777" w:rsidR="00AB69E5" w:rsidRPr="003B66EE" w:rsidRDefault="00AB69E5" w:rsidP="002E3DAB">
            <w:pPr>
              <w:jc w:val="center"/>
              <w:rPr>
                <w:color w:val="000000"/>
              </w:rPr>
            </w:pPr>
            <w:proofErr w:type="spellStart"/>
            <w:r>
              <w:rPr>
                <w:color w:val="000000"/>
              </w:rPr>
              <w:t>Avg</w:t>
            </w:r>
            <w:proofErr w:type="spellEnd"/>
            <w:r w:rsidRPr="003B66EE">
              <w:rPr>
                <w:color w:val="000000"/>
              </w:rPr>
              <w:t xml:space="preserve"> ČR = 5 197</w:t>
            </w:r>
          </w:p>
        </w:tc>
        <w:tc>
          <w:tcPr>
            <w:tcW w:w="2268" w:type="dxa"/>
            <w:shd w:val="clear" w:color="auto" w:fill="auto"/>
          </w:tcPr>
          <w:p w14:paraId="7D3444F8" w14:textId="77777777" w:rsidR="00AB69E5" w:rsidRPr="003B66EE" w:rsidRDefault="00AB69E5" w:rsidP="002E3DAB">
            <w:pPr>
              <w:jc w:val="center"/>
              <w:rPr>
                <w:color w:val="000000"/>
              </w:rPr>
            </w:pPr>
            <w:r>
              <w:rPr>
                <w:color w:val="000000"/>
              </w:rPr>
              <w:t>Max</w:t>
            </w:r>
            <w:r w:rsidRPr="003B66EE">
              <w:rPr>
                <w:color w:val="000000"/>
              </w:rPr>
              <w:t xml:space="preserve"> ČR = 7 118</w:t>
            </w:r>
          </w:p>
        </w:tc>
      </w:tr>
      <w:tr w:rsidR="00AB69E5" w:rsidRPr="00F273D6" w14:paraId="7E0BDC99" w14:textId="77777777" w:rsidTr="002E3DAB">
        <w:trPr>
          <w:jc w:val="center"/>
        </w:trPr>
        <w:tc>
          <w:tcPr>
            <w:tcW w:w="2077" w:type="dxa"/>
            <w:shd w:val="clear" w:color="auto" w:fill="B4C6E7" w:themeFill="accent1" w:themeFillTint="66"/>
          </w:tcPr>
          <w:p w14:paraId="10C1E4CD" w14:textId="77777777" w:rsidR="00AB69E5" w:rsidRPr="003B66EE" w:rsidRDefault="00AB69E5" w:rsidP="002E3DAB">
            <w:pPr>
              <w:jc w:val="both"/>
              <w:rPr>
                <w:color w:val="000000"/>
              </w:rPr>
            </w:pPr>
            <w:r w:rsidRPr="003B66EE">
              <w:rPr>
                <w:color w:val="000000"/>
              </w:rPr>
              <w:t>Atributivní riziko</w:t>
            </w:r>
          </w:p>
        </w:tc>
        <w:tc>
          <w:tcPr>
            <w:tcW w:w="2268" w:type="dxa"/>
            <w:shd w:val="clear" w:color="auto" w:fill="auto"/>
          </w:tcPr>
          <w:p w14:paraId="79735526" w14:textId="77777777" w:rsidR="00AB69E5" w:rsidRPr="003B66EE" w:rsidRDefault="00AB69E5" w:rsidP="002E3DAB">
            <w:pPr>
              <w:jc w:val="center"/>
              <w:rPr>
                <w:color w:val="000000"/>
              </w:rPr>
            </w:pPr>
            <w:r w:rsidRPr="003B66EE">
              <w:rPr>
                <w:color w:val="000000"/>
              </w:rPr>
              <w:t>0,64 %</w:t>
            </w:r>
          </w:p>
        </w:tc>
        <w:tc>
          <w:tcPr>
            <w:tcW w:w="2268" w:type="dxa"/>
            <w:shd w:val="clear" w:color="auto" w:fill="auto"/>
          </w:tcPr>
          <w:p w14:paraId="58969A59" w14:textId="77777777" w:rsidR="00AB69E5" w:rsidRPr="003B66EE" w:rsidRDefault="00AB69E5" w:rsidP="002E3DAB">
            <w:pPr>
              <w:jc w:val="center"/>
              <w:rPr>
                <w:color w:val="000000"/>
              </w:rPr>
            </w:pPr>
            <w:r w:rsidRPr="003B66EE">
              <w:rPr>
                <w:color w:val="000000"/>
              </w:rPr>
              <w:t>1,96 %</w:t>
            </w:r>
          </w:p>
        </w:tc>
        <w:tc>
          <w:tcPr>
            <w:tcW w:w="2268" w:type="dxa"/>
            <w:shd w:val="clear" w:color="auto" w:fill="auto"/>
          </w:tcPr>
          <w:p w14:paraId="24AC38CD" w14:textId="77777777" w:rsidR="00AB69E5" w:rsidRPr="003B66EE" w:rsidRDefault="00AB69E5" w:rsidP="002E3DAB">
            <w:pPr>
              <w:jc w:val="center"/>
              <w:rPr>
                <w:color w:val="000000"/>
              </w:rPr>
            </w:pPr>
            <w:r w:rsidRPr="003B66EE">
              <w:rPr>
                <w:color w:val="000000"/>
              </w:rPr>
              <w:t>2,67 %</w:t>
            </w:r>
          </w:p>
        </w:tc>
      </w:tr>
    </w:tbl>
    <w:p w14:paraId="33065A64" w14:textId="77777777" w:rsidR="00AB69E5" w:rsidRPr="003B66EE" w:rsidRDefault="00AB69E5" w:rsidP="00AB69E5">
      <w:pPr>
        <w:spacing w:before="120" w:line="276" w:lineRule="auto"/>
        <w:jc w:val="both"/>
        <w:rPr>
          <w:color w:val="auto"/>
          <w:sz w:val="22"/>
          <w:szCs w:val="22"/>
        </w:rPr>
      </w:pPr>
      <w:r w:rsidRPr="003B66EE">
        <w:rPr>
          <w:color w:val="auto"/>
          <w:sz w:val="22"/>
          <w:szCs w:val="22"/>
        </w:rPr>
        <w:t xml:space="preserve">Znečištění ovzduší ozónem, které je typickou součástí tzv. letního smogu, může zejména v letním období roku dosahovat míry ovlivňující zdraví. Ozón má silně dráždivé účinky na oční spojivky </w:t>
      </w:r>
      <w:r>
        <w:rPr>
          <w:color w:val="auto"/>
          <w:sz w:val="22"/>
          <w:szCs w:val="22"/>
        </w:rPr>
        <w:br/>
      </w:r>
      <w:r w:rsidRPr="003B66EE">
        <w:rPr>
          <w:color w:val="auto"/>
          <w:sz w:val="22"/>
          <w:szCs w:val="22"/>
        </w:rPr>
        <w:t xml:space="preserve">a dýchací cesty, a ve vyšších koncentracích způsobuje ztížené dýchání a zánětlivou reakci sliznic v dýchacích cestách. Zvýšeně citlivé vůči expozici ozónu jsou osoby s chronickými obstrukčním onemocněním plic a astmatem. </w:t>
      </w:r>
    </w:p>
    <w:p w14:paraId="6BD8EA7C" w14:textId="77777777" w:rsidR="005041D0" w:rsidRDefault="005041D0">
      <w:pPr>
        <w:autoSpaceDE/>
        <w:autoSpaceDN/>
        <w:adjustRightInd/>
        <w:spacing w:after="160" w:line="259" w:lineRule="auto"/>
        <w:textAlignment w:val="auto"/>
        <w:rPr>
          <w:rFonts w:eastAsia="Times New Roman" w:cs="Times New Roman"/>
          <w:b/>
          <w:color w:val="auto"/>
          <w:sz w:val="24"/>
          <w:szCs w:val="24"/>
          <w:lang w:eastAsia="cs-CZ"/>
        </w:rPr>
      </w:pPr>
      <w:r>
        <w:rPr>
          <w:b/>
        </w:rPr>
        <w:br w:type="page"/>
      </w:r>
    </w:p>
    <w:p w14:paraId="00F6BBBC" w14:textId="7BA88B7B" w:rsidR="00830024" w:rsidRPr="00830024" w:rsidRDefault="00830024" w:rsidP="00830024">
      <w:pPr>
        <w:pStyle w:val="DefaultText1"/>
        <w:jc w:val="center"/>
        <w:rPr>
          <w:rFonts w:ascii="Mulish" w:hAnsi="Mulish"/>
          <w:color w:val="000000" w:themeColor="text1"/>
        </w:rPr>
      </w:pPr>
      <w:r w:rsidRPr="00830024">
        <w:rPr>
          <w:rFonts w:ascii="Mulish" w:hAnsi="Mulish"/>
          <w:b/>
          <w:bCs/>
          <w:color w:val="000000" w:themeColor="text1"/>
        </w:rPr>
        <w:lastRenderedPageBreak/>
        <w:t>Oxid dusičitý (NO</w:t>
      </w:r>
      <w:r w:rsidRPr="00830024">
        <w:rPr>
          <w:rFonts w:ascii="Mulish" w:hAnsi="Mulish"/>
          <w:b/>
          <w:bCs/>
          <w:color w:val="000000" w:themeColor="text1"/>
          <w:vertAlign w:val="subscript"/>
        </w:rPr>
        <w:t>2</w:t>
      </w:r>
      <w:r w:rsidRPr="00830024">
        <w:rPr>
          <w:rFonts w:ascii="Mulish" w:hAnsi="Mulish"/>
          <w:b/>
          <w:bCs/>
          <w:color w:val="000000" w:themeColor="text1"/>
        </w:rPr>
        <w:t>)</w:t>
      </w:r>
    </w:p>
    <w:p w14:paraId="47F329A9" w14:textId="5308AA40" w:rsidR="00830024" w:rsidRPr="00830024" w:rsidRDefault="006C6727" w:rsidP="00830024">
      <w:pPr>
        <w:pStyle w:val="DefaultText1"/>
        <w:spacing w:before="120" w:line="276" w:lineRule="auto"/>
        <w:jc w:val="both"/>
        <w:rPr>
          <w:rFonts w:ascii="Mulish" w:hAnsi="Mulish"/>
          <w:color w:val="000000" w:themeColor="text1"/>
          <w:sz w:val="22"/>
          <w:szCs w:val="22"/>
        </w:rPr>
      </w:pPr>
      <w:r>
        <w:rPr>
          <w:rFonts w:ascii="Mulish" w:hAnsi="Mulish"/>
          <w:color w:val="000000" w:themeColor="text1"/>
          <w:sz w:val="22"/>
          <w:szCs w:val="22"/>
        </w:rPr>
        <w:t>Jeho p</w:t>
      </w:r>
      <w:r w:rsidR="00830024" w:rsidRPr="00830024">
        <w:rPr>
          <w:rFonts w:ascii="Mulish" w:hAnsi="Mulish"/>
          <w:color w:val="000000" w:themeColor="text1"/>
          <w:sz w:val="22"/>
          <w:szCs w:val="22"/>
        </w:rPr>
        <w:t xml:space="preserve">ůsobení je spojováno se zvýšením celkové, kardiovaskulární a respirační úmrtnosti. Je majoritně emitován při spalování, nejvyšší měřené hodnoty nalézáme v oblastech zatížených intenzivní dopravou a vytápěním. Jeho koncentrace vysoce korelují s ostatními primárními </w:t>
      </w:r>
      <w:r w:rsidR="00471D7C">
        <w:rPr>
          <w:rFonts w:ascii="Mulish" w:hAnsi="Mulish"/>
          <w:color w:val="000000" w:themeColor="text1"/>
          <w:sz w:val="22"/>
          <w:szCs w:val="22"/>
        </w:rPr>
        <w:br/>
      </w:r>
      <w:r w:rsidR="00830024" w:rsidRPr="00830024">
        <w:rPr>
          <w:rFonts w:ascii="Mulish" w:hAnsi="Mulish"/>
          <w:color w:val="000000" w:themeColor="text1"/>
          <w:sz w:val="22"/>
          <w:szCs w:val="22"/>
        </w:rPr>
        <w:t>i sekundárními zplodinami. Nelze proto jasně stanovit, zda pozorované zdravotní účinky jsou důsledkem nezávislého vlivu NO</w:t>
      </w:r>
      <w:r w:rsidR="00830024" w:rsidRPr="00830024">
        <w:rPr>
          <w:rFonts w:ascii="Mulish" w:hAnsi="Mulish"/>
          <w:color w:val="000000" w:themeColor="text1"/>
          <w:sz w:val="22"/>
          <w:szCs w:val="22"/>
          <w:vertAlign w:val="subscript"/>
        </w:rPr>
        <w:t>2</w:t>
      </w:r>
      <w:r w:rsidR="00830024" w:rsidRPr="00830024">
        <w:rPr>
          <w:rFonts w:ascii="Mulish" w:hAnsi="Mulish"/>
          <w:color w:val="000000" w:themeColor="text1"/>
          <w:sz w:val="22"/>
          <w:szCs w:val="22"/>
        </w:rPr>
        <w:t xml:space="preserve"> nebo spíše působením celé směsi látek, zejména aerosolu, uhlovodíků, ozónu a dalších látek. Hlavním účinkem krátkodobého působení vysokých koncentrací NO</w:t>
      </w:r>
      <w:r w:rsidR="00830024" w:rsidRPr="00830024">
        <w:rPr>
          <w:rFonts w:ascii="Mulish" w:hAnsi="Mulish"/>
          <w:color w:val="000000" w:themeColor="text1"/>
          <w:sz w:val="22"/>
          <w:szCs w:val="22"/>
          <w:vertAlign w:val="subscript"/>
        </w:rPr>
        <w:t>2</w:t>
      </w:r>
      <w:r w:rsidR="00830024" w:rsidRPr="00830024">
        <w:rPr>
          <w:rFonts w:ascii="Mulish" w:hAnsi="Mulish"/>
          <w:color w:val="000000" w:themeColor="text1"/>
          <w:sz w:val="22"/>
          <w:szCs w:val="22"/>
        </w:rPr>
        <w:t xml:space="preserve"> je nárůst reaktivity dýchacích cest. Na základě působení na změny reaktivity </w:t>
      </w:r>
      <w:r w:rsidR="00471D7C">
        <w:rPr>
          <w:rFonts w:ascii="Mulish" w:hAnsi="Mulish"/>
          <w:color w:val="000000" w:themeColor="text1"/>
          <w:sz w:val="22"/>
          <w:szCs w:val="22"/>
        </w:rPr>
        <w:br/>
      </w:r>
      <w:r w:rsidR="00830024" w:rsidRPr="00830024">
        <w:rPr>
          <w:rFonts w:ascii="Mulish" w:hAnsi="Mulish"/>
          <w:color w:val="000000" w:themeColor="text1"/>
          <w:sz w:val="22"/>
          <w:szCs w:val="22"/>
        </w:rPr>
        <w:t>u nejcitlivějších astmatiků je také odvozena doporučená hodnota WHO pro 1hodinovou koncentraci NO</w:t>
      </w:r>
      <w:r w:rsidR="00830024" w:rsidRPr="006C6727">
        <w:rPr>
          <w:rFonts w:ascii="Mulish" w:hAnsi="Mulish"/>
          <w:color w:val="000000" w:themeColor="text1"/>
          <w:sz w:val="22"/>
          <w:szCs w:val="22"/>
          <w:vertAlign w:val="subscript"/>
        </w:rPr>
        <w:t>2</w:t>
      </w:r>
      <w:r w:rsidR="00830024" w:rsidRPr="00830024">
        <w:rPr>
          <w:rFonts w:ascii="Mulish" w:hAnsi="Mulish"/>
          <w:color w:val="000000" w:themeColor="text1"/>
          <w:sz w:val="22"/>
          <w:szCs w:val="22"/>
        </w:rPr>
        <w:t xml:space="preserve"> (200 µg/m</w:t>
      </w:r>
      <w:r w:rsidR="00830024" w:rsidRPr="00830024">
        <w:rPr>
          <w:rFonts w:ascii="Mulish" w:hAnsi="Mulish"/>
          <w:color w:val="000000" w:themeColor="text1"/>
          <w:sz w:val="22"/>
          <w:szCs w:val="22"/>
          <w:vertAlign w:val="superscript"/>
        </w:rPr>
        <w:t>3</w:t>
      </w:r>
      <w:r w:rsidR="00830024" w:rsidRPr="00830024">
        <w:rPr>
          <w:rFonts w:ascii="Mulish" w:hAnsi="Mulish"/>
          <w:color w:val="000000" w:themeColor="text1"/>
          <w:sz w:val="22"/>
          <w:szCs w:val="22"/>
        </w:rPr>
        <w:t>). Nejvíce jsou oxidu dusičitému vystaveni obyvatelé velkých městských aglomerací významně ovlivněných dopravou. Pro děti znamená expozice vyšším hodnotám NO</w:t>
      </w:r>
      <w:r w:rsidR="00830024" w:rsidRPr="00830024">
        <w:rPr>
          <w:rFonts w:ascii="Mulish" w:hAnsi="Mulish"/>
          <w:color w:val="000000" w:themeColor="text1"/>
          <w:sz w:val="22"/>
          <w:szCs w:val="22"/>
          <w:vertAlign w:val="subscript"/>
        </w:rPr>
        <w:t>2</w:t>
      </w:r>
      <w:r w:rsidR="00830024" w:rsidRPr="00830024">
        <w:rPr>
          <w:rFonts w:ascii="Mulish" w:hAnsi="Mulish"/>
          <w:color w:val="000000" w:themeColor="text1"/>
          <w:sz w:val="22"/>
          <w:szCs w:val="22"/>
        </w:rPr>
        <w:t xml:space="preserve"> zvýšené riziko respiračních onemocnění v důsledku snížené obranyschopnosti vůči infekci a snížení plicních funkcí</w:t>
      </w:r>
      <w:r w:rsidR="009E426D" w:rsidRPr="00830024">
        <w:rPr>
          <w:rFonts w:ascii="Mulish" w:hAnsi="Mulish"/>
          <w:color w:val="000000" w:themeColor="text1"/>
          <w:sz w:val="22"/>
          <w:szCs w:val="22"/>
        </w:rPr>
        <w:t xml:space="preserve">. </w:t>
      </w:r>
    </w:p>
    <w:p w14:paraId="56920E6A" w14:textId="4DD28992" w:rsidR="00830024" w:rsidRDefault="00F12415" w:rsidP="006C6727">
      <w:pPr>
        <w:pStyle w:val="DefaultText1"/>
        <w:widowControl w:val="0"/>
        <w:spacing w:before="120" w:after="120"/>
        <w:jc w:val="both"/>
        <w:rPr>
          <w:rFonts w:ascii="Mulish" w:hAnsi="Mulish"/>
          <w:color w:val="000000" w:themeColor="text1"/>
          <w:sz w:val="22"/>
          <w:szCs w:val="22"/>
        </w:rPr>
      </w:pPr>
      <w:r w:rsidRPr="009E426D">
        <w:rPr>
          <w:rFonts w:ascii="Mulish" w:hAnsi="Mulish"/>
          <w:noProof/>
          <w:color w:val="FF0000"/>
          <w:sz w:val="22"/>
          <w:szCs w:val="22"/>
        </w:rPr>
        <w:drawing>
          <wp:anchor distT="0" distB="0" distL="114300" distR="114300" simplePos="0" relativeHeight="251699200" behindDoc="0" locked="0" layoutInCell="1" allowOverlap="0" wp14:anchorId="3AEEA16B" wp14:editId="5124F0EA">
            <wp:simplePos x="0" y="0"/>
            <wp:positionH relativeFrom="column">
              <wp:posOffset>257175</wp:posOffset>
            </wp:positionH>
            <wp:positionV relativeFrom="page">
              <wp:posOffset>6128385</wp:posOffset>
            </wp:positionV>
            <wp:extent cx="5580000" cy="2026800"/>
            <wp:effectExtent l="0" t="0" r="1905" b="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0000" cy="2026800"/>
                    </a:xfrm>
                    <a:prstGeom prst="rect">
                      <a:avLst/>
                    </a:prstGeom>
                    <a:noFill/>
                  </pic:spPr>
                </pic:pic>
              </a:graphicData>
            </a:graphic>
            <wp14:sizeRelH relativeFrom="margin">
              <wp14:pctWidth>0</wp14:pctWidth>
            </wp14:sizeRelH>
            <wp14:sizeRelV relativeFrom="margin">
              <wp14:pctHeight>0</wp14:pctHeight>
            </wp14:sizeRelV>
          </wp:anchor>
        </w:drawing>
      </w:r>
      <w:r w:rsidR="00830024" w:rsidRPr="00830024">
        <w:rPr>
          <w:rFonts w:ascii="Mulish" w:hAnsi="Mulish"/>
          <w:color w:val="000000" w:themeColor="text1"/>
          <w:sz w:val="22"/>
          <w:szCs w:val="22"/>
        </w:rPr>
        <w:t xml:space="preserve">Tabulka č. </w:t>
      </w:r>
      <w:r w:rsidR="00830024" w:rsidRPr="00830024">
        <w:rPr>
          <w:rFonts w:ascii="Mulish" w:hAnsi="Mulish"/>
          <w:color w:val="000000" w:themeColor="text1"/>
          <w:sz w:val="22"/>
          <w:szCs w:val="22"/>
        </w:rPr>
        <w:fldChar w:fldCharType="begin"/>
      </w:r>
      <w:r w:rsidR="00830024" w:rsidRPr="00830024">
        <w:rPr>
          <w:rFonts w:ascii="Mulish" w:hAnsi="Mulish"/>
          <w:color w:val="000000" w:themeColor="text1"/>
          <w:sz w:val="22"/>
          <w:szCs w:val="22"/>
        </w:rPr>
        <w:instrText xml:space="preserve"> SEQ Tabulka_č._ \* ARABIC </w:instrText>
      </w:r>
      <w:r w:rsidR="00830024" w:rsidRPr="00830024">
        <w:rPr>
          <w:rFonts w:ascii="Mulish" w:hAnsi="Mulish"/>
          <w:color w:val="000000" w:themeColor="text1"/>
          <w:sz w:val="22"/>
          <w:szCs w:val="22"/>
        </w:rPr>
        <w:fldChar w:fldCharType="separate"/>
      </w:r>
      <w:r w:rsidR="00D30EF9">
        <w:rPr>
          <w:rFonts w:ascii="Mulish" w:hAnsi="Mulish"/>
          <w:noProof/>
          <w:color w:val="000000" w:themeColor="text1"/>
          <w:sz w:val="22"/>
          <w:szCs w:val="22"/>
        </w:rPr>
        <w:t>4</w:t>
      </w:r>
      <w:r w:rsidR="00830024" w:rsidRPr="00830024">
        <w:rPr>
          <w:rFonts w:ascii="Mulish" w:hAnsi="Mulish"/>
          <w:noProof/>
          <w:color w:val="000000" w:themeColor="text1"/>
          <w:sz w:val="22"/>
          <w:szCs w:val="22"/>
        </w:rPr>
        <w:fldChar w:fldCharType="end"/>
      </w:r>
      <w:r w:rsidR="00830024" w:rsidRPr="00830024">
        <w:rPr>
          <w:rFonts w:ascii="Mulish" w:hAnsi="Mulish"/>
          <w:color w:val="000000" w:themeColor="text1"/>
          <w:sz w:val="22"/>
          <w:szCs w:val="22"/>
        </w:rPr>
        <w:t>. Rozpětí hodnot ročních průměrů NO</w:t>
      </w:r>
      <w:r w:rsidR="00830024" w:rsidRPr="00830024">
        <w:rPr>
          <w:rFonts w:ascii="Mulish" w:hAnsi="Mulish"/>
          <w:color w:val="000000" w:themeColor="text1"/>
          <w:sz w:val="22"/>
          <w:szCs w:val="22"/>
          <w:vertAlign w:val="subscript"/>
        </w:rPr>
        <w:t>2</w:t>
      </w:r>
      <w:r w:rsidR="00830024" w:rsidRPr="00830024">
        <w:rPr>
          <w:rFonts w:ascii="Mulish" w:hAnsi="Mulish"/>
          <w:color w:val="000000" w:themeColor="text1"/>
          <w:sz w:val="22"/>
          <w:szCs w:val="22"/>
        </w:rPr>
        <w:t xml:space="preserve"> v roce 2022</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23"/>
        <w:gridCol w:w="1117"/>
        <w:gridCol w:w="1134"/>
      </w:tblGrid>
      <w:tr w:rsidR="00830024" w:rsidRPr="005C0389" w14:paraId="0955E771" w14:textId="77777777" w:rsidTr="00830024">
        <w:trPr>
          <w:trHeight w:val="330"/>
          <w:jc w:val="center"/>
        </w:trPr>
        <w:tc>
          <w:tcPr>
            <w:tcW w:w="4123" w:type="dxa"/>
            <w:vMerge w:val="restart"/>
            <w:shd w:val="clear" w:color="auto" w:fill="B4C6E7" w:themeFill="accent1" w:themeFillTint="66"/>
            <w:noWrap/>
            <w:vAlign w:val="center"/>
          </w:tcPr>
          <w:p w14:paraId="3C3FCE73" w14:textId="3E8661D3" w:rsidR="00830024" w:rsidRPr="009E426D" w:rsidRDefault="00830024" w:rsidP="006C6727">
            <w:pPr>
              <w:widowControl w:val="0"/>
            </w:pPr>
            <w:r w:rsidRPr="009E426D">
              <w:t>roční průměry rok 2022</w:t>
            </w:r>
          </w:p>
        </w:tc>
        <w:tc>
          <w:tcPr>
            <w:tcW w:w="2251" w:type="dxa"/>
            <w:gridSpan w:val="2"/>
            <w:shd w:val="clear" w:color="auto" w:fill="B4C6E7" w:themeFill="accent1" w:themeFillTint="66"/>
            <w:noWrap/>
            <w:vAlign w:val="center"/>
          </w:tcPr>
          <w:p w14:paraId="76DFF8BA" w14:textId="16C4F3FC" w:rsidR="00830024" w:rsidRPr="009E426D" w:rsidRDefault="00830024" w:rsidP="006C6727">
            <w:pPr>
              <w:widowControl w:val="0"/>
              <w:jc w:val="center"/>
            </w:pPr>
            <w:r w:rsidRPr="009E426D">
              <w:t>NO</w:t>
            </w:r>
            <w:r w:rsidRPr="009E426D">
              <w:rPr>
                <w:vertAlign w:val="subscript"/>
              </w:rPr>
              <w:t>2</w:t>
            </w:r>
            <w:r w:rsidRPr="009E426D">
              <w:t xml:space="preserve"> (µg/m</w:t>
            </w:r>
            <w:r w:rsidRPr="009E426D">
              <w:rPr>
                <w:vertAlign w:val="superscript"/>
              </w:rPr>
              <w:t>3</w:t>
            </w:r>
            <w:r w:rsidRPr="009E426D">
              <w:t>)</w:t>
            </w:r>
          </w:p>
        </w:tc>
      </w:tr>
      <w:tr w:rsidR="00830024" w:rsidRPr="005C0389" w14:paraId="20492B2F" w14:textId="77777777" w:rsidTr="00830024">
        <w:trPr>
          <w:trHeight w:val="270"/>
          <w:jc w:val="center"/>
        </w:trPr>
        <w:tc>
          <w:tcPr>
            <w:tcW w:w="4123" w:type="dxa"/>
            <w:vMerge/>
            <w:shd w:val="clear" w:color="auto" w:fill="B4C6E7" w:themeFill="accent1" w:themeFillTint="66"/>
            <w:noWrap/>
            <w:vAlign w:val="center"/>
          </w:tcPr>
          <w:p w14:paraId="3F9C94DF" w14:textId="77777777" w:rsidR="00830024" w:rsidRPr="009E426D" w:rsidRDefault="00830024" w:rsidP="006C6727">
            <w:pPr>
              <w:widowControl w:val="0"/>
            </w:pPr>
          </w:p>
        </w:tc>
        <w:tc>
          <w:tcPr>
            <w:tcW w:w="1117" w:type="dxa"/>
            <w:shd w:val="clear" w:color="auto" w:fill="B4C6E7" w:themeFill="accent1" w:themeFillTint="66"/>
            <w:noWrap/>
            <w:vAlign w:val="center"/>
          </w:tcPr>
          <w:p w14:paraId="7507F90A" w14:textId="45BA16AF" w:rsidR="00830024" w:rsidRPr="009E426D" w:rsidRDefault="00830024" w:rsidP="006C6727">
            <w:pPr>
              <w:widowControl w:val="0"/>
              <w:jc w:val="center"/>
            </w:pPr>
            <w:r w:rsidRPr="009E426D">
              <w:t>Min</w:t>
            </w:r>
          </w:p>
        </w:tc>
        <w:tc>
          <w:tcPr>
            <w:tcW w:w="1134" w:type="dxa"/>
            <w:shd w:val="clear" w:color="auto" w:fill="B4C6E7" w:themeFill="accent1" w:themeFillTint="66"/>
            <w:noWrap/>
            <w:vAlign w:val="center"/>
          </w:tcPr>
          <w:p w14:paraId="4DE9E028" w14:textId="527860E2" w:rsidR="00830024" w:rsidRPr="009E426D" w:rsidRDefault="009E426D" w:rsidP="006C6727">
            <w:pPr>
              <w:widowControl w:val="0"/>
              <w:jc w:val="center"/>
            </w:pPr>
            <w:r>
              <w:t>M</w:t>
            </w:r>
            <w:r w:rsidR="00830024" w:rsidRPr="009E426D">
              <w:t>ax</w:t>
            </w:r>
          </w:p>
        </w:tc>
      </w:tr>
      <w:tr w:rsidR="00830024" w:rsidRPr="005C0389" w14:paraId="06957C51" w14:textId="77777777" w:rsidTr="00830024">
        <w:trPr>
          <w:trHeight w:val="300"/>
          <w:jc w:val="center"/>
        </w:trPr>
        <w:tc>
          <w:tcPr>
            <w:tcW w:w="4123" w:type="dxa"/>
            <w:shd w:val="clear" w:color="auto" w:fill="B4C6E7" w:themeFill="accent1" w:themeFillTint="66"/>
            <w:noWrap/>
            <w:vAlign w:val="center"/>
          </w:tcPr>
          <w:p w14:paraId="320A7CF2" w14:textId="77777777" w:rsidR="00830024" w:rsidRPr="009E426D" w:rsidRDefault="00830024" w:rsidP="006C6727">
            <w:pPr>
              <w:widowControl w:val="0"/>
              <w:rPr>
                <w:bCs/>
              </w:rPr>
            </w:pPr>
            <w:r w:rsidRPr="009E426D">
              <w:rPr>
                <w:bCs/>
              </w:rPr>
              <w:t>ČR</w:t>
            </w:r>
          </w:p>
        </w:tc>
        <w:tc>
          <w:tcPr>
            <w:tcW w:w="1117" w:type="dxa"/>
            <w:shd w:val="clear" w:color="auto" w:fill="auto"/>
            <w:noWrap/>
            <w:vAlign w:val="center"/>
          </w:tcPr>
          <w:p w14:paraId="576825B5" w14:textId="5C5D5C75" w:rsidR="00830024" w:rsidRPr="009E426D" w:rsidRDefault="00830024" w:rsidP="006C6727">
            <w:pPr>
              <w:widowControl w:val="0"/>
              <w:jc w:val="center"/>
              <w:rPr>
                <w:bCs/>
              </w:rPr>
            </w:pPr>
            <w:r w:rsidRPr="009E426D">
              <w:rPr>
                <w:bCs/>
              </w:rPr>
              <w:t>1,7</w:t>
            </w:r>
          </w:p>
        </w:tc>
        <w:tc>
          <w:tcPr>
            <w:tcW w:w="1134" w:type="dxa"/>
            <w:shd w:val="clear" w:color="auto" w:fill="auto"/>
            <w:noWrap/>
            <w:vAlign w:val="center"/>
          </w:tcPr>
          <w:p w14:paraId="517B69C5" w14:textId="77777777" w:rsidR="00830024" w:rsidRPr="009E426D" w:rsidRDefault="00830024" w:rsidP="006C6727">
            <w:pPr>
              <w:widowControl w:val="0"/>
              <w:jc w:val="center"/>
              <w:rPr>
                <w:bCs/>
              </w:rPr>
            </w:pPr>
            <w:r w:rsidRPr="009E426D">
              <w:rPr>
                <w:bCs/>
              </w:rPr>
              <w:t>39,3</w:t>
            </w:r>
          </w:p>
        </w:tc>
      </w:tr>
      <w:tr w:rsidR="00830024" w:rsidRPr="005C0389" w14:paraId="5DD063C0" w14:textId="77777777" w:rsidTr="00830024">
        <w:trPr>
          <w:trHeight w:val="300"/>
          <w:jc w:val="center"/>
        </w:trPr>
        <w:tc>
          <w:tcPr>
            <w:tcW w:w="4123" w:type="dxa"/>
            <w:shd w:val="clear" w:color="auto" w:fill="B4C6E7" w:themeFill="accent1" w:themeFillTint="66"/>
            <w:noWrap/>
            <w:vAlign w:val="center"/>
          </w:tcPr>
          <w:p w14:paraId="2FCEE96C" w14:textId="77777777" w:rsidR="00830024" w:rsidRPr="009E426D" w:rsidRDefault="00830024" w:rsidP="006C6727">
            <w:pPr>
              <w:widowControl w:val="0"/>
              <w:rPr>
                <w:bCs/>
              </w:rPr>
            </w:pPr>
            <w:r w:rsidRPr="009E426D">
              <w:rPr>
                <w:bCs/>
              </w:rPr>
              <w:t>města celkem</w:t>
            </w:r>
          </w:p>
        </w:tc>
        <w:tc>
          <w:tcPr>
            <w:tcW w:w="1117" w:type="dxa"/>
            <w:shd w:val="clear" w:color="auto" w:fill="auto"/>
            <w:noWrap/>
            <w:vAlign w:val="center"/>
          </w:tcPr>
          <w:p w14:paraId="2FDD9E57" w14:textId="77777777" w:rsidR="00830024" w:rsidRPr="009E426D" w:rsidRDefault="00830024" w:rsidP="006C6727">
            <w:pPr>
              <w:widowControl w:val="0"/>
              <w:jc w:val="center"/>
              <w:rPr>
                <w:bCs/>
              </w:rPr>
            </w:pPr>
            <w:r w:rsidRPr="009E426D">
              <w:rPr>
                <w:bCs/>
              </w:rPr>
              <w:t>9,2</w:t>
            </w:r>
          </w:p>
        </w:tc>
        <w:tc>
          <w:tcPr>
            <w:tcW w:w="1134" w:type="dxa"/>
            <w:shd w:val="clear" w:color="auto" w:fill="auto"/>
            <w:noWrap/>
            <w:vAlign w:val="center"/>
          </w:tcPr>
          <w:p w14:paraId="64103BBB" w14:textId="77777777" w:rsidR="00830024" w:rsidRPr="009E426D" w:rsidRDefault="00830024" w:rsidP="006C6727">
            <w:pPr>
              <w:widowControl w:val="0"/>
              <w:jc w:val="center"/>
              <w:rPr>
                <w:bCs/>
              </w:rPr>
            </w:pPr>
            <w:r w:rsidRPr="009E426D">
              <w:rPr>
                <w:bCs/>
              </w:rPr>
              <w:t>39,3</w:t>
            </w:r>
          </w:p>
        </w:tc>
      </w:tr>
      <w:tr w:rsidR="00830024" w:rsidRPr="005C0389" w14:paraId="12C1D7AB" w14:textId="77777777" w:rsidTr="00830024">
        <w:trPr>
          <w:trHeight w:val="300"/>
          <w:jc w:val="center"/>
        </w:trPr>
        <w:tc>
          <w:tcPr>
            <w:tcW w:w="4123" w:type="dxa"/>
            <w:shd w:val="clear" w:color="auto" w:fill="B4C6E7" w:themeFill="accent1" w:themeFillTint="66"/>
            <w:noWrap/>
            <w:vAlign w:val="center"/>
          </w:tcPr>
          <w:p w14:paraId="1E8FAF65" w14:textId="77777777" w:rsidR="00830024" w:rsidRPr="009E426D" w:rsidRDefault="00830024" w:rsidP="006C6727">
            <w:pPr>
              <w:widowControl w:val="0"/>
              <w:jc w:val="right"/>
              <w:rPr>
                <w:bCs/>
              </w:rPr>
            </w:pPr>
            <w:r w:rsidRPr="009E426D">
              <w:rPr>
                <w:bCs/>
              </w:rPr>
              <w:t>lokality bez dopravní zátěže</w:t>
            </w:r>
          </w:p>
        </w:tc>
        <w:tc>
          <w:tcPr>
            <w:tcW w:w="1117" w:type="dxa"/>
            <w:shd w:val="clear" w:color="auto" w:fill="auto"/>
            <w:noWrap/>
            <w:vAlign w:val="center"/>
          </w:tcPr>
          <w:p w14:paraId="094865B9" w14:textId="77777777" w:rsidR="00830024" w:rsidRPr="009E426D" w:rsidRDefault="00830024" w:rsidP="006C6727">
            <w:pPr>
              <w:widowControl w:val="0"/>
              <w:jc w:val="center"/>
              <w:rPr>
                <w:bCs/>
              </w:rPr>
            </w:pPr>
            <w:r w:rsidRPr="009E426D">
              <w:rPr>
                <w:bCs/>
              </w:rPr>
              <w:t>9,2</w:t>
            </w:r>
          </w:p>
        </w:tc>
        <w:tc>
          <w:tcPr>
            <w:tcW w:w="1134" w:type="dxa"/>
            <w:shd w:val="clear" w:color="auto" w:fill="auto"/>
            <w:noWrap/>
            <w:vAlign w:val="center"/>
          </w:tcPr>
          <w:p w14:paraId="39732E3E" w14:textId="77777777" w:rsidR="00830024" w:rsidRPr="009E426D" w:rsidRDefault="00830024" w:rsidP="006C6727">
            <w:pPr>
              <w:widowControl w:val="0"/>
              <w:jc w:val="center"/>
              <w:rPr>
                <w:bCs/>
              </w:rPr>
            </w:pPr>
            <w:r w:rsidRPr="009E426D">
              <w:rPr>
                <w:bCs/>
              </w:rPr>
              <w:t>19,7</w:t>
            </w:r>
          </w:p>
        </w:tc>
      </w:tr>
      <w:tr w:rsidR="00830024" w:rsidRPr="005C0389" w14:paraId="32F4B657" w14:textId="77777777" w:rsidTr="00830024">
        <w:trPr>
          <w:trHeight w:val="300"/>
          <w:jc w:val="center"/>
        </w:trPr>
        <w:tc>
          <w:tcPr>
            <w:tcW w:w="4123" w:type="dxa"/>
            <w:shd w:val="clear" w:color="auto" w:fill="B4C6E7" w:themeFill="accent1" w:themeFillTint="66"/>
            <w:noWrap/>
            <w:vAlign w:val="center"/>
          </w:tcPr>
          <w:p w14:paraId="317B781D" w14:textId="77777777" w:rsidR="00830024" w:rsidRPr="009E426D" w:rsidRDefault="00830024" w:rsidP="006C6727">
            <w:pPr>
              <w:widowControl w:val="0"/>
              <w:jc w:val="right"/>
              <w:rPr>
                <w:bCs/>
              </w:rPr>
            </w:pPr>
            <w:r w:rsidRPr="009E426D">
              <w:rPr>
                <w:bCs/>
              </w:rPr>
              <w:t>lokality s dopravní zátěží</w:t>
            </w:r>
          </w:p>
        </w:tc>
        <w:tc>
          <w:tcPr>
            <w:tcW w:w="1117" w:type="dxa"/>
            <w:shd w:val="clear" w:color="auto" w:fill="auto"/>
            <w:noWrap/>
            <w:vAlign w:val="center"/>
          </w:tcPr>
          <w:p w14:paraId="68BBC4D4" w14:textId="77777777" w:rsidR="00830024" w:rsidRPr="009E426D" w:rsidRDefault="00830024" w:rsidP="006C6727">
            <w:pPr>
              <w:widowControl w:val="0"/>
              <w:jc w:val="center"/>
              <w:rPr>
                <w:bCs/>
              </w:rPr>
            </w:pPr>
            <w:r w:rsidRPr="009E426D">
              <w:rPr>
                <w:bCs/>
              </w:rPr>
              <w:t>11,6</w:t>
            </w:r>
          </w:p>
        </w:tc>
        <w:tc>
          <w:tcPr>
            <w:tcW w:w="1134" w:type="dxa"/>
            <w:shd w:val="clear" w:color="auto" w:fill="auto"/>
            <w:noWrap/>
            <w:vAlign w:val="center"/>
          </w:tcPr>
          <w:p w14:paraId="067AE01F" w14:textId="77777777" w:rsidR="00830024" w:rsidRPr="009E426D" w:rsidRDefault="00830024" w:rsidP="006C6727">
            <w:pPr>
              <w:widowControl w:val="0"/>
              <w:jc w:val="center"/>
              <w:rPr>
                <w:bCs/>
              </w:rPr>
            </w:pPr>
            <w:r w:rsidRPr="009E426D">
              <w:rPr>
                <w:bCs/>
              </w:rPr>
              <w:t>39,3</w:t>
            </w:r>
          </w:p>
        </w:tc>
      </w:tr>
      <w:tr w:rsidR="00830024" w:rsidRPr="005C0389" w14:paraId="0A7B2011" w14:textId="77777777" w:rsidTr="00830024">
        <w:trPr>
          <w:trHeight w:val="300"/>
          <w:jc w:val="center"/>
        </w:trPr>
        <w:tc>
          <w:tcPr>
            <w:tcW w:w="4123" w:type="dxa"/>
            <w:shd w:val="clear" w:color="auto" w:fill="B4C6E7" w:themeFill="accent1" w:themeFillTint="66"/>
            <w:noWrap/>
            <w:vAlign w:val="center"/>
          </w:tcPr>
          <w:p w14:paraId="71040078" w14:textId="77777777" w:rsidR="00830024" w:rsidRPr="009E426D" w:rsidRDefault="00830024" w:rsidP="006C6727">
            <w:pPr>
              <w:widowControl w:val="0"/>
              <w:jc w:val="right"/>
              <w:rPr>
                <w:bCs/>
              </w:rPr>
            </w:pPr>
            <w:r w:rsidRPr="009E426D">
              <w:rPr>
                <w:bCs/>
              </w:rPr>
              <w:t>průmyslové lokality</w:t>
            </w:r>
          </w:p>
        </w:tc>
        <w:tc>
          <w:tcPr>
            <w:tcW w:w="1117" w:type="dxa"/>
            <w:shd w:val="clear" w:color="auto" w:fill="auto"/>
            <w:noWrap/>
            <w:vAlign w:val="center"/>
          </w:tcPr>
          <w:p w14:paraId="4192E5C4" w14:textId="77777777" w:rsidR="00830024" w:rsidRPr="009E426D" w:rsidRDefault="00830024" w:rsidP="006C6727">
            <w:pPr>
              <w:widowControl w:val="0"/>
              <w:jc w:val="center"/>
              <w:rPr>
                <w:bCs/>
              </w:rPr>
            </w:pPr>
            <w:r w:rsidRPr="009E426D">
              <w:rPr>
                <w:bCs/>
              </w:rPr>
              <w:t>10,2</w:t>
            </w:r>
          </w:p>
        </w:tc>
        <w:tc>
          <w:tcPr>
            <w:tcW w:w="1134" w:type="dxa"/>
            <w:shd w:val="clear" w:color="auto" w:fill="auto"/>
            <w:noWrap/>
            <w:vAlign w:val="center"/>
          </w:tcPr>
          <w:p w14:paraId="3B8578E1" w14:textId="77777777" w:rsidR="00830024" w:rsidRPr="009E426D" w:rsidRDefault="00830024" w:rsidP="006C6727">
            <w:pPr>
              <w:widowControl w:val="0"/>
              <w:jc w:val="center"/>
              <w:rPr>
                <w:bCs/>
              </w:rPr>
            </w:pPr>
            <w:r w:rsidRPr="009E426D">
              <w:rPr>
                <w:bCs/>
              </w:rPr>
              <w:t>31,4</w:t>
            </w:r>
          </w:p>
        </w:tc>
      </w:tr>
    </w:tbl>
    <w:p w14:paraId="3089D4DD" w14:textId="51DD3A43" w:rsidR="00830024" w:rsidRPr="009E426D" w:rsidRDefault="00830024" w:rsidP="006C6727">
      <w:pPr>
        <w:pStyle w:val="DefaultText1"/>
        <w:widowControl w:val="0"/>
        <w:spacing w:before="120"/>
        <w:jc w:val="both"/>
        <w:rPr>
          <w:rFonts w:ascii="Mulish" w:hAnsi="Mulish"/>
          <w:color w:val="000000" w:themeColor="text1"/>
          <w:sz w:val="22"/>
          <w:szCs w:val="22"/>
        </w:rPr>
      </w:pPr>
      <w:r w:rsidRPr="009E426D">
        <w:rPr>
          <w:rFonts w:ascii="Mulish" w:hAnsi="Mulish"/>
          <w:color w:val="000000" w:themeColor="text1"/>
          <w:sz w:val="22"/>
          <w:szCs w:val="22"/>
        </w:rPr>
        <w:t>Graf č. 1. Rozpětí ročních průměrů NO</w:t>
      </w:r>
      <w:r w:rsidRPr="009E426D">
        <w:rPr>
          <w:rFonts w:ascii="Mulish" w:hAnsi="Mulish"/>
          <w:color w:val="000000" w:themeColor="text1"/>
          <w:sz w:val="22"/>
          <w:szCs w:val="22"/>
          <w:vertAlign w:val="subscript"/>
        </w:rPr>
        <w:t>2</w:t>
      </w:r>
      <w:r w:rsidRPr="009E426D">
        <w:rPr>
          <w:rFonts w:ascii="Mulish" w:hAnsi="Mulish"/>
          <w:color w:val="000000" w:themeColor="text1"/>
          <w:sz w:val="22"/>
          <w:szCs w:val="22"/>
        </w:rPr>
        <w:t xml:space="preserve"> v roce 2022 v ČR a v jednotlivých typech městských lokalit </w:t>
      </w:r>
    </w:p>
    <w:p w14:paraId="39B71C5D" w14:textId="5C7DDBE9" w:rsidR="00194AEB" w:rsidRDefault="00194AEB" w:rsidP="00194AEB">
      <w:pPr>
        <w:pStyle w:val="DefaultText1"/>
        <w:spacing w:line="276" w:lineRule="auto"/>
        <w:jc w:val="both"/>
        <w:rPr>
          <w:rFonts w:ascii="Mulish" w:hAnsi="Mulish"/>
          <w:color w:val="000000" w:themeColor="text1"/>
          <w:sz w:val="22"/>
          <w:szCs w:val="22"/>
        </w:rPr>
      </w:pPr>
    </w:p>
    <w:p w14:paraId="0378BB37" w14:textId="1BBCF90C" w:rsidR="00F12415" w:rsidRPr="00830024" w:rsidRDefault="00F12415" w:rsidP="00F12415">
      <w:pPr>
        <w:pStyle w:val="DefaultText1"/>
        <w:spacing w:before="120" w:line="276" w:lineRule="auto"/>
        <w:jc w:val="both"/>
        <w:rPr>
          <w:rFonts w:ascii="Mulish" w:hAnsi="Mulish"/>
          <w:color w:val="000000" w:themeColor="text1"/>
          <w:sz w:val="22"/>
          <w:szCs w:val="22"/>
        </w:rPr>
      </w:pPr>
      <w:r w:rsidRPr="00830024">
        <w:rPr>
          <w:rFonts w:ascii="Mulish" w:hAnsi="Mulish"/>
          <w:color w:val="000000" w:themeColor="text1"/>
          <w:sz w:val="22"/>
          <w:szCs w:val="22"/>
        </w:rPr>
        <w:t>V roce 2022 hodnot</w:t>
      </w:r>
      <w:r w:rsidR="00575018">
        <w:rPr>
          <w:rFonts w:ascii="Mulish" w:hAnsi="Mulish"/>
          <w:color w:val="000000" w:themeColor="text1"/>
          <w:sz w:val="22"/>
          <w:szCs w:val="22"/>
        </w:rPr>
        <w:t>a</w:t>
      </w:r>
      <w:r w:rsidRPr="00830024">
        <w:rPr>
          <w:rFonts w:ascii="Mulish" w:hAnsi="Mulish"/>
          <w:color w:val="000000" w:themeColor="text1"/>
          <w:sz w:val="22"/>
          <w:szCs w:val="22"/>
        </w:rPr>
        <w:t xml:space="preserve"> průměrn</w:t>
      </w:r>
      <w:r w:rsidR="00575018">
        <w:rPr>
          <w:rFonts w:ascii="Mulish" w:hAnsi="Mulish"/>
          <w:color w:val="000000" w:themeColor="text1"/>
          <w:sz w:val="22"/>
          <w:szCs w:val="22"/>
        </w:rPr>
        <w:t>é</w:t>
      </w:r>
      <w:r w:rsidRPr="00830024">
        <w:rPr>
          <w:rFonts w:ascii="Mulish" w:hAnsi="Mulish"/>
          <w:color w:val="000000" w:themeColor="text1"/>
          <w:sz w:val="22"/>
          <w:szCs w:val="22"/>
        </w:rPr>
        <w:t xml:space="preserve"> roční</w:t>
      </w:r>
      <w:r w:rsidR="00575018">
        <w:rPr>
          <w:rFonts w:ascii="Mulish" w:hAnsi="Mulish"/>
          <w:color w:val="000000" w:themeColor="text1"/>
          <w:sz w:val="22"/>
          <w:szCs w:val="22"/>
        </w:rPr>
        <w:t xml:space="preserve"> </w:t>
      </w:r>
      <w:r w:rsidRPr="00830024">
        <w:rPr>
          <w:rFonts w:ascii="Mulish" w:hAnsi="Mulish"/>
          <w:color w:val="000000" w:themeColor="text1"/>
          <w:sz w:val="22"/>
          <w:szCs w:val="22"/>
        </w:rPr>
        <w:t>koncentrac</w:t>
      </w:r>
      <w:r w:rsidR="00575018">
        <w:rPr>
          <w:rFonts w:ascii="Mulish" w:hAnsi="Mulish"/>
          <w:color w:val="000000" w:themeColor="text1"/>
          <w:sz w:val="22"/>
          <w:szCs w:val="22"/>
        </w:rPr>
        <w:t>e</w:t>
      </w:r>
      <w:r w:rsidRPr="00830024">
        <w:rPr>
          <w:rFonts w:ascii="Mulish" w:hAnsi="Mulish"/>
          <w:color w:val="000000" w:themeColor="text1"/>
          <w:sz w:val="22"/>
          <w:szCs w:val="22"/>
        </w:rPr>
        <w:t xml:space="preserve"> přírodního pozadí v ČR nepřekročil</w:t>
      </w:r>
      <w:r w:rsidR="00575018">
        <w:rPr>
          <w:rFonts w:ascii="Mulish" w:hAnsi="Mulish"/>
          <w:color w:val="000000" w:themeColor="text1"/>
          <w:sz w:val="22"/>
          <w:szCs w:val="22"/>
        </w:rPr>
        <w:t>a</w:t>
      </w:r>
      <w:r w:rsidRPr="00830024">
        <w:rPr>
          <w:rFonts w:ascii="Mulish" w:hAnsi="Mulish"/>
          <w:color w:val="000000" w:themeColor="text1"/>
          <w:sz w:val="22"/>
          <w:szCs w:val="22"/>
        </w:rPr>
        <w:t xml:space="preserve"> </w:t>
      </w:r>
      <w:r>
        <w:rPr>
          <w:rFonts w:ascii="Mulish" w:hAnsi="Mulish"/>
          <w:color w:val="000000" w:themeColor="text1"/>
          <w:sz w:val="22"/>
          <w:szCs w:val="22"/>
        </w:rPr>
        <w:br/>
      </w:r>
      <w:r w:rsidRPr="00830024">
        <w:rPr>
          <w:rFonts w:ascii="Mulish" w:hAnsi="Mulish"/>
          <w:color w:val="000000" w:themeColor="text1"/>
          <w:sz w:val="22"/>
          <w:szCs w:val="22"/>
        </w:rPr>
        <w:t>5 µg/m</w:t>
      </w:r>
      <w:r w:rsidRPr="00830024">
        <w:rPr>
          <w:rFonts w:ascii="Mulish" w:hAnsi="Mulish"/>
          <w:color w:val="000000" w:themeColor="text1"/>
          <w:sz w:val="22"/>
          <w:szCs w:val="22"/>
          <w:vertAlign w:val="superscript"/>
        </w:rPr>
        <w:t>3</w:t>
      </w:r>
      <w:r w:rsidRPr="00830024">
        <w:rPr>
          <w:rFonts w:ascii="Mulish" w:hAnsi="Mulish"/>
          <w:color w:val="000000" w:themeColor="text1"/>
          <w:sz w:val="22"/>
          <w:szCs w:val="22"/>
        </w:rPr>
        <w:t xml:space="preserve">. V obydlených oblastech se hodnota ročního průměru pohybovala, v závislosti na složení </w:t>
      </w:r>
      <w:r w:rsidRPr="00830024">
        <w:rPr>
          <w:rFonts w:ascii="Mulish" w:hAnsi="Mulish"/>
          <w:color w:val="000000" w:themeColor="text1"/>
          <w:sz w:val="22"/>
          <w:szCs w:val="22"/>
        </w:rPr>
        <w:lastRenderedPageBreak/>
        <w:t>okolních spolupůsobících zdrojů</w:t>
      </w:r>
      <w:r w:rsidR="00270E26">
        <w:rPr>
          <w:rFonts w:ascii="Mulish" w:hAnsi="Mulish"/>
          <w:color w:val="000000" w:themeColor="text1"/>
          <w:sz w:val="22"/>
          <w:szCs w:val="22"/>
        </w:rPr>
        <w:t xml:space="preserve"> od</w:t>
      </w:r>
      <w:r w:rsidRPr="00830024">
        <w:rPr>
          <w:rFonts w:ascii="Mulish" w:hAnsi="Mulish"/>
          <w:color w:val="000000" w:themeColor="text1"/>
          <w:sz w:val="22"/>
          <w:szCs w:val="22"/>
        </w:rPr>
        <w:t xml:space="preserve"> 10 až</w:t>
      </w:r>
      <w:r w:rsidR="00270E26">
        <w:rPr>
          <w:rFonts w:ascii="Mulish" w:hAnsi="Mulish"/>
          <w:color w:val="000000" w:themeColor="text1"/>
          <w:sz w:val="22"/>
          <w:szCs w:val="22"/>
        </w:rPr>
        <w:t xml:space="preserve"> po</w:t>
      </w:r>
      <w:r w:rsidRPr="00830024">
        <w:rPr>
          <w:rFonts w:ascii="Mulish" w:hAnsi="Mulish"/>
          <w:color w:val="000000" w:themeColor="text1"/>
          <w:sz w:val="22"/>
          <w:szCs w:val="22"/>
        </w:rPr>
        <w:t xml:space="preserve"> 39 µg/m</w:t>
      </w:r>
      <w:r w:rsidRPr="00830024">
        <w:rPr>
          <w:rFonts w:ascii="Mulish" w:hAnsi="Mulish"/>
          <w:color w:val="000000" w:themeColor="text1"/>
          <w:sz w:val="22"/>
          <w:szCs w:val="22"/>
          <w:vertAlign w:val="superscript"/>
        </w:rPr>
        <w:t>3</w:t>
      </w:r>
      <w:r w:rsidR="00575018">
        <w:rPr>
          <w:rFonts w:ascii="Mulish" w:hAnsi="Mulish"/>
          <w:color w:val="000000" w:themeColor="text1"/>
          <w:sz w:val="22"/>
          <w:szCs w:val="22"/>
        </w:rPr>
        <w:t xml:space="preserve"> n</w:t>
      </w:r>
      <w:r w:rsidRPr="00830024">
        <w:rPr>
          <w:rFonts w:ascii="Mulish" w:hAnsi="Mulish"/>
          <w:color w:val="000000" w:themeColor="text1"/>
          <w:sz w:val="22"/>
          <w:szCs w:val="22"/>
        </w:rPr>
        <w:t>a dopravní Hot-spot stanici v Praze 2 v Legerově ulici. Maximální 1hodinové koncentrace ani v extrémně zatížených lokalitách nepřekročily 200 µg/m</w:t>
      </w:r>
      <w:r w:rsidRPr="00830024">
        <w:rPr>
          <w:rFonts w:ascii="Mulish" w:hAnsi="Mulish"/>
          <w:color w:val="000000" w:themeColor="text1"/>
          <w:sz w:val="22"/>
          <w:szCs w:val="22"/>
          <w:vertAlign w:val="superscript"/>
        </w:rPr>
        <w:t>3</w:t>
      </w:r>
      <w:r w:rsidRPr="00830024">
        <w:rPr>
          <w:rFonts w:ascii="Mulish" w:hAnsi="Mulish"/>
          <w:color w:val="000000" w:themeColor="text1"/>
          <w:sz w:val="22"/>
          <w:szCs w:val="22"/>
        </w:rPr>
        <w:t xml:space="preserve">. Roční imisní limit nebyl překročen, situace se, zvláště ve velkých městských aglomeracích, </w:t>
      </w:r>
      <w:r w:rsidR="00270E26" w:rsidRPr="00830024">
        <w:rPr>
          <w:rFonts w:ascii="Mulish" w:hAnsi="Mulish"/>
          <w:color w:val="000000" w:themeColor="text1"/>
          <w:sz w:val="22"/>
          <w:szCs w:val="22"/>
        </w:rPr>
        <w:t>meziročně mírně zlepšila</w:t>
      </w:r>
      <w:r w:rsidR="00270E26">
        <w:rPr>
          <w:rFonts w:ascii="Mulish" w:hAnsi="Mulish"/>
          <w:color w:val="000000" w:themeColor="text1"/>
          <w:sz w:val="22"/>
          <w:szCs w:val="22"/>
        </w:rPr>
        <w:t xml:space="preserve"> </w:t>
      </w:r>
      <w:r w:rsidRPr="00830024">
        <w:rPr>
          <w:rFonts w:ascii="Mulish" w:hAnsi="Mulish"/>
          <w:color w:val="000000" w:themeColor="text1"/>
          <w:sz w:val="22"/>
          <w:szCs w:val="22"/>
        </w:rPr>
        <w:t>v řádu jednotek mikrogramů ročního průměru</w:t>
      </w:r>
      <w:r w:rsidR="00270E26">
        <w:rPr>
          <w:rFonts w:ascii="Mulish" w:hAnsi="Mulish"/>
          <w:color w:val="000000" w:themeColor="text1"/>
          <w:sz w:val="22"/>
          <w:szCs w:val="22"/>
        </w:rPr>
        <w:t>.</w:t>
      </w:r>
      <w:r w:rsidRPr="00830024">
        <w:rPr>
          <w:rFonts w:ascii="Mulish" w:hAnsi="Mulish"/>
          <w:color w:val="000000" w:themeColor="text1"/>
          <w:sz w:val="22"/>
          <w:szCs w:val="22"/>
        </w:rPr>
        <w:t xml:space="preserve"> </w:t>
      </w:r>
    </w:p>
    <w:p w14:paraId="49B2E999" w14:textId="77777777" w:rsidR="00F12415" w:rsidRPr="00830024" w:rsidRDefault="00F12415" w:rsidP="00F12415">
      <w:pPr>
        <w:pStyle w:val="DefaultText1"/>
        <w:spacing w:before="120" w:line="276" w:lineRule="auto"/>
        <w:jc w:val="both"/>
        <w:rPr>
          <w:rFonts w:ascii="Mulish" w:hAnsi="Mulish"/>
          <w:color w:val="000000" w:themeColor="text1"/>
          <w:sz w:val="22"/>
          <w:szCs w:val="22"/>
        </w:rPr>
      </w:pPr>
      <w:r w:rsidRPr="00830024">
        <w:rPr>
          <w:rFonts w:ascii="Mulish" w:hAnsi="Mulish"/>
          <w:color w:val="000000" w:themeColor="text1"/>
          <w:sz w:val="22"/>
          <w:szCs w:val="22"/>
        </w:rPr>
        <w:t>Pro NO</w:t>
      </w:r>
      <w:r w:rsidRPr="00830024">
        <w:rPr>
          <w:rFonts w:ascii="Mulish" w:hAnsi="Mulish"/>
          <w:color w:val="000000" w:themeColor="text1"/>
          <w:sz w:val="22"/>
          <w:szCs w:val="22"/>
          <w:vertAlign w:val="subscript"/>
        </w:rPr>
        <w:t>2</w:t>
      </w:r>
      <w:r w:rsidRPr="00830024">
        <w:rPr>
          <w:rFonts w:ascii="Mulish" w:hAnsi="Mulish"/>
          <w:color w:val="000000" w:themeColor="text1"/>
          <w:sz w:val="22"/>
          <w:szCs w:val="22"/>
        </w:rPr>
        <w:t xml:space="preserve"> jsou v Globálních pokynech WHO (2021) pro kvalitu ovzduší v Evropě uvedeny doporučené (cílové) hodnoty AQG pro rok (10 µg/m</w:t>
      </w:r>
      <w:r w:rsidRPr="00830024">
        <w:rPr>
          <w:rFonts w:ascii="Mulish" w:hAnsi="Mulish"/>
          <w:color w:val="000000" w:themeColor="text1"/>
          <w:sz w:val="22"/>
          <w:szCs w:val="22"/>
          <w:vertAlign w:val="superscript"/>
        </w:rPr>
        <w:t>3</w:t>
      </w:r>
      <w:r w:rsidRPr="00830024">
        <w:rPr>
          <w:rFonts w:ascii="Mulish" w:hAnsi="Mulish"/>
          <w:color w:val="000000" w:themeColor="text1"/>
          <w:sz w:val="22"/>
          <w:szCs w:val="22"/>
        </w:rPr>
        <w:t>), pro 24 hodin (25 µg/m</w:t>
      </w:r>
      <w:r w:rsidRPr="00830024">
        <w:rPr>
          <w:rFonts w:ascii="Mulish" w:hAnsi="Mulish"/>
          <w:color w:val="000000" w:themeColor="text1"/>
          <w:sz w:val="22"/>
          <w:szCs w:val="22"/>
          <w:vertAlign w:val="superscript"/>
        </w:rPr>
        <w:t>3</w:t>
      </w:r>
      <w:r w:rsidRPr="00830024">
        <w:rPr>
          <w:rFonts w:ascii="Mulish" w:hAnsi="Mulish"/>
          <w:color w:val="000000" w:themeColor="text1"/>
          <w:sz w:val="22"/>
          <w:szCs w:val="22"/>
        </w:rPr>
        <w:t>) a pro hodinu (200 µg/m</w:t>
      </w:r>
      <w:r w:rsidRPr="00830024">
        <w:rPr>
          <w:rFonts w:ascii="Mulish" w:hAnsi="Mulish"/>
          <w:color w:val="000000" w:themeColor="text1"/>
          <w:sz w:val="22"/>
          <w:szCs w:val="22"/>
          <w:vertAlign w:val="superscript"/>
        </w:rPr>
        <w:t>3</w:t>
      </w:r>
      <w:r w:rsidRPr="00830024">
        <w:rPr>
          <w:rFonts w:ascii="Mulish" w:hAnsi="Mulish"/>
          <w:color w:val="000000" w:themeColor="text1"/>
          <w:sz w:val="22"/>
          <w:szCs w:val="22"/>
        </w:rPr>
        <w:t>). Pak:</w:t>
      </w:r>
    </w:p>
    <w:p w14:paraId="6FB86A65" w14:textId="77777777" w:rsidR="00F12415" w:rsidRPr="00830024" w:rsidRDefault="00F12415" w:rsidP="00F12415">
      <w:pPr>
        <w:pStyle w:val="Odstavecseseznamem"/>
        <w:numPr>
          <w:ilvl w:val="0"/>
          <w:numId w:val="30"/>
        </w:numPr>
        <w:spacing w:line="276" w:lineRule="auto"/>
        <w:jc w:val="both"/>
        <w:rPr>
          <w:rFonts w:ascii="Mulish" w:hAnsi="Mulish"/>
          <w:color w:val="000000" w:themeColor="text1"/>
          <w:sz w:val="22"/>
          <w:szCs w:val="22"/>
          <w14:shadow w14:blurRad="0" w14:dist="0" w14:dir="0" w14:sx="0" w14:sy="0" w14:kx="0" w14:ky="0" w14:algn="none">
            <w14:srgbClr w14:val="000000"/>
          </w14:shadow>
        </w:rPr>
      </w:pPr>
      <w:r w:rsidRPr="00830024">
        <w:rPr>
          <w:rFonts w:ascii="Mulish" w:hAnsi="Mulish"/>
          <w:color w:val="000000" w:themeColor="text1"/>
          <w:sz w:val="22"/>
          <w:szCs w:val="22"/>
          <w14:shadow w14:blurRad="0" w14:dist="0" w14:dir="0" w14:sx="0" w14:sy="0" w14:kx="0" w14:ky="0" w14:algn="none">
            <w14:srgbClr w14:val="000000"/>
          </w14:shadow>
        </w:rPr>
        <w:t xml:space="preserve">na žádné stanici nebyla v roce 2022 překročena cílová hodnota AQG </w:t>
      </w:r>
      <w:r w:rsidRPr="00830024">
        <w:rPr>
          <w:rFonts w:ascii="Mulish" w:hAnsi="Mulish"/>
          <w:color w:val="000000" w:themeColor="text1"/>
          <w:sz w:val="22"/>
          <w:szCs w:val="22"/>
          <w14:shadow w14:blurRad="0" w14:dist="0" w14:dir="0" w14:sx="0" w14:sy="0" w14:kx="0" w14:ky="0" w14:algn="none">
            <w14:srgbClr w14:val="000000"/>
          </w14:shadow>
        </w:rPr>
        <w:br/>
        <w:t>200 µg/m</w:t>
      </w:r>
      <w:r w:rsidRPr="00830024">
        <w:rPr>
          <w:rFonts w:ascii="Mulish" w:hAnsi="Mulish"/>
          <w:color w:val="000000" w:themeColor="text1"/>
          <w:sz w:val="22"/>
          <w:szCs w:val="22"/>
          <w:vertAlign w:val="superscript"/>
          <w14:shadow w14:blurRad="0" w14:dist="0" w14:dir="0" w14:sx="0" w14:sy="0" w14:kx="0" w14:ky="0" w14:algn="none">
            <w14:srgbClr w14:val="000000"/>
          </w14:shadow>
        </w:rPr>
        <w:t>3</w:t>
      </w:r>
      <w:r w:rsidRPr="00830024">
        <w:rPr>
          <w:rFonts w:ascii="Mulish" w:hAnsi="Mulish"/>
          <w:color w:val="000000" w:themeColor="text1"/>
          <w:sz w:val="22"/>
          <w:szCs w:val="22"/>
          <w14:shadow w14:blurRad="0" w14:dist="0" w14:dir="0" w14:sx="0" w14:sy="0" w14:kx="0" w14:ky="0" w14:algn="none">
            <w14:srgbClr w14:val="000000"/>
          </w14:shadow>
        </w:rPr>
        <w:t>/hod.;</w:t>
      </w:r>
    </w:p>
    <w:p w14:paraId="10D6A067" w14:textId="77777777" w:rsidR="00F12415" w:rsidRPr="00830024" w:rsidRDefault="00F12415" w:rsidP="00F12415">
      <w:pPr>
        <w:pStyle w:val="Odstavecseseznamem"/>
        <w:numPr>
          <w:ilvl w:val="0"/>
          <w:numId w:val="30"/>
        </w:numPr>
        <w:spacing w:line="276" w:lineRule="auto"/>
        <w:jc w:val="both"/>
        <w:rPr>
          <w:rFonts w:ascii="Mulish" w:hAnsi="Mulish"/>
          <w:color w:val="000000" w:themeColor="text1"/>
          <w:sz w:val="22"/>
          <w:szCs w:val="22"/>
          <w14:shadow w14:blurRad="0" w14:dist="0" w14:dir="0" w14:sx="0" w14:sy="0" w14:kx="0" w14:ky="0" w14:algn="none">
            <w14:srgbClr w14:val="000000"/>
          </w14:shadow>
        </w:rPr>
      </w:pPr>
      <w:r w:rsidRPr="00830024">
        <w:rPr>
          <w:rFonts w:ascii="Mulish" w:hAnsi="Mulish"/>
          <w:color w:val="000000" w:themeColor="text1"/>
          <w:sz w:val="22"/>
          <w:szCs w:val="22"/>
          <w14:shadow w14:blurRad="0" w14:dist="0" w14:dir="0" w14:sx="0" w14:sy="0" w14:kx="0" w14:ky="0" w14:algn="none">
            <w14:srgbClr w14:val="000000"/>
          </w14:shadow>
        </w:rPr>
        <w:t xml:space="preserve">denní </w:t>
      </w:r>
      <w:r w:rsidRPr="00830024">
        <w:rPr>
          <w:rFonts w:ascii="Mulish" w:hAnsi="Mulish"/>
          <w:noProof w:val="0"/>
          <w:snapToGrid w:val="0"/>
          <w:color w:val="000000" w:themeColor="text1"/>
          <w:sz w:val="22"/>
          <w:szCs w:val="22"/>
          <w14:shadow w14:blurRad="0" w14:dist="0" w14:dir="0" w14:sx="0" w14:sy="0" w14:kx="0" w14:ky="0" w14:algn="none">
            <w14:srgbClr w14:val="000000"/>
          </w14:shadow>
        </w:rPr>
        <w:t>cílová hodnota AQG - 25 µg/m</w:t>
      </w:r>
      <w:r w:rsidRPr="00830024">
        <w:rPr>
          <w:rFonts w:ascii="Mulish" w:hAnsi="Mulish"/>
          <w:noProof w:val="0"/>
          <w:snapToGrid w:val="0"/>
          <w:color w:val="000000" w:themeColor="text1"/>
          <w:sz w:val="22"/>
          <w:szCs w:val="22"/>
          <w:vertAlign w:val="superscript"/>
          <w14:shadow w14:blurRad="0" w14:dist="0" w14:dir="0" w14:sx="0" w14:sy="0" w14:kx="0" w14:ky="0" w14:algn="none">
            <w14:srgbClr w14:val="000000"/>
          </w14:shadow>
        </w:rPr>
        <w:t>3</w:t>
      </w:r>
      <w:r w:rsidRPr="00830024">
        <w:rPr>
          <w:rFonts w:ascii="Mulish" w:hAnsi="Mulish"/>
          <w:noProof w:val="0"/>
          <w:snapToGrid w:val="0"/>
          <w:color w:val="000000" w:themeColor="text1"/>
          <w:sz w:val="22"/>
          <w:szCs w:val="22"/>
          <w14:shadow w14:blurRad="0" w14:dist="0" w14:dir="0" w14:sx="0" w14:sy="0" w14:kx="0" w14:ky="0" w14:algn="none">
            <w14:srgbClr w14:val="000000"/>
          </w14:shadow>
        </w:rPr>
        <w:t xml:space="preserve"> byla alespoň jednou překročena na 61 (97 %) </w:t>
      </w:r>
      <w:r w:rsidRPr="00830024">
        <w:rPr>
          <w:rFonts w:ascii="Mulish" w:hAnsi="Mulish"/>
          <w:noProof w:val="0"/>
          <w:snapToGrid w:val="0"/>
          <w:color w:val="000000" w:themeColor="text1"/>
          <w:sz w:val="22"/>
          <w:szCs w:val="22"/>
          <w14:shadow w14:blurRad="0" w14:dist="0" w14:dir="0" w14:sx="0" w14:sy="0" w14:kx="0" w14:ky="0" w14:algn="none">
            <w14:srgbClr w14:val="000000"/>
          </w14:shadow>
        </w:rPr>
        <w:br/>
        <w:t>z 64 městských stanic.</w:t>
      </w:r>
      <w:r w:rsidRPr="00830024">
        <w:rPr>
          <w:rFonts w:ascii="Mulish" w:hAnsi="Mulish"/>
          <w:color w:val="000000" w:themeColor="text1"/>
          <w:sz w:val="22"/>
          <w:szCs w:val="22"/>
          <w14:shadow w14:blurRad="0" w14:dist="0" w14:dir="0" w14:sx="0" w14:sy="0" w14:kx="0" w14:ky="0" w14:algn="none">
            <w14:srgbClr w14:val="000000"/>
          </w14:shadow>
        </w:rPr>
        <w:t xml:space="preserve"> Nejvyšší počet překročení denní cílové hodnoty byl naměřen na stanici Praha 2 - Legerova – 292 (82 %);</w:t>
      </w:r>
    </w:p>
    <w:p w14:paraId="14D43EB3" w14:textId="77777777" w:rsidR="00F12415" w:rsidRPr="00830024" w:rsidRDefault="00F12415" w:rsidP="00F12415">
      <w:pPr>
        <w:pStyle w:val="Odstavecseseznamem"/>
        <w:numPr>
          <w:ilvl w:val="0"/>
          <w:numId w:val="30"/>
        </w:numPr>
        <w:spacing w:line="276" w:lineRule="auto"/>
        <w:jc w:val="both"/>
        <w:rPr>
          <w:rFonts w:ascii="Mulish" w:hAnsi="Mulish"/>
          <w:color w:val="000000" w:themeColor="text1"/>
          <w:sz w:val="22"/>
          <w:szCs w:val="22"/>
          <w14:shadow w14:blurRad="0" w14:dist="0" w14:dir="0" w14:sx="0" w14:sy="0" w14:kx="0" w14:ky="0" w14:algn="none">
            <w14:srgbClr w14:val="000000"/>
          </w14:shadow>
        </w:rPr>
      </w:pPr>
      <w:r w:rsidRPr="00830024">
        <w:rPr>
          <w:rFonts w:ascii="Mulish" w:hAnsi="Mulish"/>
          <w:color w:val="000000" w:themeColor="text1"/>
          <w:sz w:val="22"/>
          <w:szCs w:val="22"/>
          <w14:shadow w14:blurRad="0" w14:dist="0" w14:dir="0" w14:sx="0" w14:sy="0" w14:kx="0" w14:ky="0" w14:algn="none">
            <w14:srgbClr w14:val="000000"/>
          </w14:shadow>
        </w:rPr>
        <w:t>roční cílová hodnota AQG - 10 µg/m</w:t>
      </w:r>
      <w:r w:rsidRPr="00830024">
        <w:rPr>
          <w:rFonts w:ascii="Mulish" w:hAnsi="Mulish"/>
          <w:color w:val="000000" w:themeColor="text1"/>
          <w:sz w:val="22"/>
          <w:szCs w:val="22"/>
          <w:vertAlign w:val="superscript"/>
          <w14:shadow w14:blurRad="0" w14:dist="0" w14:dir="0" w14:sx="0" w14:sy="0" w14:kx="0" w14:ky="0" w14:algn="none">
            <w14:srgbClr w14:val="000000"/>
          </w14:shadow>
        </w:rPr>
        <w:t>3</w:t>
      </w:r>
      <w:r w:rsidRPr="00830024">
        <w:rPr>
          <w:rFonts w:ascii="Mulish" w:hAnsi="Mulish"/>
          <w:color w:val="000000" w:themeColor="text1"/>
          <w:sz w:val="22"/>
          <w:szCs w:val="22"/>
          <w14:shadow w14:blurRad="0" w14:dist="0" w14:dir="0" w14:sx="0" w14:sy="0" w14:kx="0" w14:ky="0" w14:algn="none">
            <w14:srgbClr w14:val="000000"/>
          </w14:shadow>
        </w:rPr>
        <w:t xml:space="preserve"> byla v roce 2021 překročena na 54 z 63 městských stanic (</w:t>
      </w:r>
      <w:r w:rsidRPr="00830024">
        <w:rPr>
          <w:rFonts w:ascii="Mulish" w:hAnsi="Mulish"/>
          <w:noProof w:val="0"/>
          <w:snapToGrid w:val="0"/>
          <w:color w:val="000000" w:themeColor="text1"/>
          <w:sz w:val="22"/>
          <w:szCs w:val="22"/>
          <w14:shadow w14:blurRad="0" w14:dist="0" w14:dir="0" w14:sx="0" w14:sy="0" w14:kx="0" w14:ky="0" w14:algn="none">
            <w14:srgbClr w14:val="000000"/>
          </w14:shadow>
        </w:rPr>
        <w:sym w:font="Symbol" w:char="F0BB"/>
      </w:r>
      <w:r w:rsidRPr="00830024">
        <w:rPr>
          <w:rFonts w:ascii="Mulish" w:hAnsi="Mulish"/>
          <w:color w:val="000000" w:themeColor="text1"/>
          <w:sz w:val="22"/>
          <w:szCs w:val="22"/>
          <w14:shadow w14:blurRad="0" w14:dist="0" w14:dir="0" w14:sx="0" w14:sy="0" w14:kx="0" w14:ky="0" w14:algn="none">
            <w14:srgbClr w14:val="000000"/>
          </w14:shadow>
        </w:rPr>
        <w:t xml:space="preserve"> 86 %).</w:t>
      </w:r>
    </w:p>
    <w:p w14:paraId="2853F9CD" w14:textId="77777777" w:rsidR="00F12415" w:rsidRDefault="00F12415" w:rsidP="00194AEB">
      <w:pPr>
        <w:pStyle w:val="DefaultText1"/>
        <w:spacing w:line="276" w:lineRule="auto"/>
        <w:jc w:val="both"/>
        <w:rPr>
          <w:rFonts w:ascii="Mulish" w:hAnsi="Mulish"/>
          <w:color w:val="000000" w:themeColor="text1"/>
          <w:sz w:val="22"/>
          <w:szCs w:val="22"/>
        </w:rPr>
      </w:pPr>
    </w:p>
    <w:p w14:paraId="32B7EDF7" w14:textId="2D76241B" w:rsidR="00830024" w:rsidRDefault="00194AEB" w:rsidP="00194AEB">
      <w:pPr>
        <w:pStyle w:val="DefaultText1"/>
        <w:spacing w:line="276" w:lineRule="auto"/>
        <w:jc w:val="both"/>
        <w:rPr>
          <w:rFonts w:ascii="Mulish" w:hAnsi="Mulish"/>
          <w:color w:val="000000" w:themeColor="text1"/>
          <w:sz w:val="22"/>
          <w:szCs w:val="22"/>
        </w:rPr>
      </w:pPr>
      <w:r w:rsidRPr="00830024">
        <w:rPr>
          <w:rFonts w:ascii="Mulish" w:hAnsi="Mulish"/>
          <w:color w:val="000000" w:themeColor="text1"/>
          <w:sz w:val="22"/>
          <w:szCs w:val="22"/>
        </w:rPr>
        <w:t>Z hodnot zjištěných ročních průměrů vyplývá, že u obyvatel v dopravou zatížených oblastech, např. v pražské nebo brněnské aglomeraci, lze očekávat snížení plicních funkcí, zvýšení výskytu respiračních onemocnění, zvýšený výskyt astmatických obtíží a alergií, a to u dětí i dospělých.</w:t>
      </w:r>
    </w:p>
    <w:p w14:paraId="0A28000C" w14:textId="5C79F1FD" w:rsidR="00552610" w:rsidRPr="001507B2" w:rsidRDefault="00552610" w:rsidP="00552610">
      <w:pPr>
        <w:pStyle w:val="DefaultText1"/>
        <w:spacing w:before="120" w:line="276" w:lineRule="auto"/>
        <w:jc w:val="both"/>
        <w:rPr>
          <w:rFonts w:ascii="Mulish" w:hAnsi="Mulish"/>
          <w:sz w:val="22"/>
          <w:szCs w:val="22"/>
        </w:rPr>
      </w:pPr>
      <w:r w:rsidRPr="001507B2">
        <w:rPr>
          <w:rFonts w:ascii="Mulish" w:hAnsi="Mulish"/>
          <w:sz w:val="22"/>
          <w:szCs w:val="22"/>
        </w:rPr>
        <w:t>Hodnocení vlivu oxidu dusičitého je zahrnuto v komplexním hodnocení suspendovaných částic. Grafické znázornění rozpětí ročních koncentrací (graf č. 1) ukazuje, že nejvíce jsou expozici NO</w:t>
      </w:r>
      <w:r w:rsidRPr="001507B2">
        <w:rPr>
          <w:rFonts w:ascii="Mulish" w:hAnsi="Mulish"/>
          <w:sz w:val="22"/>
          <w:szCs w:val="22"/>
          <w:vertAlign w:val="subscript"/>
        </w:rPr>
        <w:t>2</w:t>
      </w:r>
      <w:r w:rsidRPr="001507B2">
        <w:rPr>
          <w:rFonts w:ascii="Mulish" w:hAnsi="Mulish"/>
          <w:sz w:val="22"/>
          <w:szCs w:val="22"/>
        </w:rPr>
        <w:t xml:space="preserve"> vystaveni obyvatelé městských lokalit významně ovlivněných dopravou, méně v průmyslových lokalitách.</w:t>
      </w:r>
      <w:r w:rsidRPr="001507B2">
        <w:rPr>
          <w:rFonts w:ascii="Mulish" w:hAnsi="Mulish"/>
          <w:i/>
          <w:sz w:val="22"/>
          <w:szCs w:val="22"/>
        </w:rPr>
        <w:t xml:space="preserve"> </w:t>
      </w:r>
      <w:r w:rsidRPr="001507B2">
        <w:rPr>
          <w:rFonts w:ascii="Mulish" w:hAnsi="Mulish"/>
          <w:sz w:val="22"/>
          <w:szCs w:val="22"/>
        </w:rPr>
        <w:t xml:space="preserve">Z hodnot ročních aritmetických průměrů (tab. </w:t>
      </w:r>
      <w:proofErr w:type="gramStart"/>
      <w:r w:rsidRPr="001507B2">
        <w:rPr>
          <w:rFonts w:ascii="Mulish" w:hAnsi="Mulish"/>
          <w:sz w:val="22"/>
          <w:szCs w:val="22"/>
        </w:rPr>
        <w:t>č.</w:t>
      </w:r>
      <w:proofErr w:type="gramEnd"/>
      <w:r w:rsidRPr="001507B2">
        <w:rPr>
          <w:rFonts w:ascii="Mulish" w:hAnsi="Mulish"/>
          <w:sz w:val="22"/>
          <w:szCs w:val="22"/>
        </w:rPr>
        <w:t xml:space="preserve"> </w:t>
      </w:r>
      <w:r w:rsidR="00F12415">
        <w:rPr>
          <w:rFonts w:ascii="Mulish" w:hAnsi="Mulish"/>
          <w:sz w:val="22"/>
          <w:szCs w:val="22"/>
        </w:rPr>
        <w:t>4</w:t>
      </w:r>
      <w:r w:rsidRPr="001507B2">
        <w:rPr>
          <w:rFonts w:ascii="Mulish" w:hAnsi="Mulish"/>
          <w:sz w:val="22"/>
          <w:szCs w:val="22"/>
        </w:rPr>
        <w:t xml:space="preserve">) vyplývá, že v místech bezprostředního ovlivnění intenzivní dopravou (nad 10 000 vozidel) lze v důsledku expozice zvýšeným okamžitým koncentracím oxidu dusičitého očekávat snížení plicních funkcí, zvýšený výskyt astmatických obtíží a alergií u dětské i dospělé populace. </w:t>
      </w:r>
    </w:p>
    <w:p w14:paraId="3B968C20" w14:textId="77777777" w:rsidR="00552610" w:rsidRPr="001507B2" w:rsidRDefault="00552610" w:rsidP="00552610">
      <w:pPr>
        <w:pStyle w:val="DefaultText1"/>
        <w:spacing w:before="120" w:line="276" w:lineRule="auto"/>
        <w:jc w:val="both"/>
        <w:rPr>
          <w:rFonts w:ascii="Mulish" w:hAnsi="Mulish"/>
          <w:b/>
          <w:sz w:val="22"/>
          <w:szCs w:val="22"/>
        </w:rPr>
      </w:pPr>
      <w:r w:rsidRPr="001507B2">
        <w:rPr>
          <w:rFonts w:ascii="Mulish" w:hAnsi="Mulish"/>
          <w:b/>
          <w:sz w:val="22"/>
          <w:szCs w:val="22"/>
        </w:rPr>
        <w:t xml:space="preserve">V městských lokalitách bez přímého vlivu dopravy, průmyslu nebo velkých energetických zdrojů není oxid dusičitý zdrojem zdravotních rizik. </w:t>
      </w:r>
    </w:p>
    <w:p w14:paraId="3464629D" w14:textId="77777777" w:rsidR="00552610" w:rsidRPr="005C0389" w:rsidRDefault="00552610" w:rsidP="00194AEB">
      <w:pPr>
        <w:pStyle w:val="DefaultText1"/>
        <w:spacing w:line="276" w:lineRule="auto"/>
        <w:jc w:val="both"/>
        <w:rPr>
          <w:bCs/>
          <w:color w:val="FF0000"/>
        </w:rPr>
      </w:pPr>
    </w:p>
    <w:p w14:paraId="5F31DE3C" w14:textId="77777777" w:rsidR="00552610" w:rsidRDefault="00552610" w:rsidP="009E426D">
      <w:pPr>
        <w:pStyle w:val="DefaultText1"/>
        <w:jc w:val="center"/>
        <w:rPr>
          <w:rFonts w:ascii="Mulish" w:hAnsi="Mulish"/>
          <w:b/>
          <w:bCs/>
          <w:color w:val="000000" w:themeColor="text1"/>
        </w:rPr>
      </w:pPr>
      <w:r>
        <w:rPr>
          <w:rFonts w:ascii="Mulish" w:hAnsi="Mulish"/>
          <w:b/>
          <w:bCs/>
          <w:color w:val="000000" w:themeColor="text1"/>
        </w:rPr>
        <w:br/>
      </w:r>
    </w:p>
    <w:p w14:paraId="4F50F4AA" w14:textId="23CF1C15" w:rsidR="00830024" w:rsidRPr="00552610" w:rsidRDefault="00552610" w:rsidP="00552610">
      <w:pPr>
        <w:pStyle w:val="DefaultText1"/>
        <w:jc w:val="center"/>
        <w:rPr>
          <w:rFonts w:ascii="Mulish" w:hAnsi="Mulish"/>
          <w:b/>
          <w:bCs/>
          <w:color w:val="000000" w:themeColor="text1"/>
        </w:rPr>
      </w:pPr>
      <w:r>
        <w:rPr>
          <w:rFonts w:ascii="Mulish" w:hAnsi="Mulish"/>
          <w:b/>
          <w:bCs/>
          <w:color w:val="000000" w:themeColor="text1"/>
        </w:rPr>
        <w:br w:type="page"/>
      </w:r>
      <w:r w:rsidR="00830024" w:rsidRPr="009E426D">
        <w:rPr>
          <w:rFonts w:ascii="Mulish" w:hAnsi="Mulish"/>
          <w:b/>
          <w:bCs/>
          <w:color w:val="000000" w:themeColor="text1"/>
        </w:rPr>
        <w:lastRenderedPageBreak/>
        <w:t xml:space="preserve">Aerosol </w:t>
      </w:r>
      <w:r w:rsidR="006C6727">
        <w:rPr>
          <w:rFonts w:ascii="Mulish" w:hAnsi="Mulish"/>
          <w:b/>
          <w:bCs/>
          <w:color w:val="000000" w:themeColor="text1"/>
        </w:rPr>
        <w:t>(PM</w:t>
      </w:r>
      <w:r w:rsidR="006C6727" w:rsidRPr="00552610">
        <w:rPr>
          <w:rFonts w:ascii="Mulish" w:hAnsi="Mulish"/>
          <w:b/>
          <w:bCs/>
          <w:color w:val="000000" w:themeColor="text1"/>
          <w:vertAlign w:val="subscript"/>
        </w:rPr>
        <w:t>10</w:t>
      </w:r>
      <w:r w:rsidR="006C6727">
        <w:rPr>
          <w:rFonts w:ascii="Mulish" w:hAnsi="Mulish"/>
          <w:b/>
          <w:bCs/>
          <w:color w:val="000000" w:themeColor="text1"/>
        </w:rPr>
        <w:t xml:space="preserve"> a PM</w:t>
      </w:r>
      <w:r w:rsidR="006C6727" w:rsidRPr="00552610">
        <w:rPr>
          <w:rFonts w:ascii="Mulish" w:hAnsi="Mulish"/>
          <w:b/>
          <w:bCs/>
          <w:color w:val="000000" w:themeColor="text1"/>
          <w:vertAlign w:val="subscript"/>
        </w:rPr>
        <w:t>2,5</w:t>
      </w:r>
      <w:r w:rsidR="006C6727">
        <w:rPr>
          <w:rFonts w:ascii="Mulish" w:hAnsi="Mulish"/>
          <w:b/>
          <w:bCs/>
          <w:color w:val="000000" w:themeColor="text1"/>
        </w:rPr>
        <w:t>)</w:t>
      </w:r>
    </w:p>
    <w:p w14:paraId="3CC87CD8" w14:textId="77777777" w:rsidR="00194AEB" w:rsidRPr="009E426D" w:rsidRDefault="00194AEB" w:rsidP="00194AEB">
      <w:pPr>
        <w:pStyle w:val="Zkladntext"/>
        <w:spacing w:before="120" w:line="276" w:lineRule="auto"/>
        <w:jc w:val="both"/>
        <w:rPr>
          <w:rFonts w:ascii="Mulish" w:hAnsi="Mulish"/>
          <w:noProof w:val="0"/>
          <w:color w:val="000000" w:themeColor="text1"/>
          <w:sz w:val="22"/>
          <w:szCs w:val="22"/>
          <w14:shadow w14:blurRad="0" w14:dist="0" w14:dir="0" w14:sx="0" w14:sy="0" w14:kx="0" w14:ky="0" w14:algn="none">
            <w14:srgbClr w14:val="000000"/>
          </w14:shadow>
        </w:rPr>
      </w:pPr>
      <w:r w:rsidRPr="009E426D">
        <w:rPr>
          <w:rFonts w:ascii="Mulish" w:hAnsi="Mulish"/>
          <w:b/>
          <w:noProof w:val="0"/>
          <w:color w:val="000000" w:themeColor="text1"/>
          <w:sz w:val="22"/>
          <w:szCs w:val="22"/>
          <w14:shadow w14:blurRad="0" w14:dist="0" w14:dir="0" w14:sx="0" w14:sy="0" w14:kx="0" w14:ky="0" w14:algn="none">
            <w14:srgbClr w14:val="000000"/>
          </w14:shadow>
        </w:rPr>
        <w:t>Účinek částic</w:t>
      </w:r>
      <w:r w:rsidRPr="009E426D">
        <w:rPr>
          <w:rFonts w:ascii="Mulish" w:hAnsi="Mulish"/>
          <w:noProof w:val="0"/>
          <w:color w:val="000000" w:themeColor="text1"/>
          <w:sz w:val="22"/>
          <w:szCs w:val="22"/>
          <w14:shadow w14:blurRad="0" w14:dist="0" w14:dir="0" w14:sx="0" w14:sy="0" w14:kx="0" w14:ky="0" w14:algn="none">
            <w14:srgbClr w14:val="000000"/>
          </w14:shadow>
        </w:rPr>
        <w:t xml:space="preserve"> závisí na jejich velikosti, tvaru a chemickém složení. Velikost částic je rozhodující pro průnik a ukládání v dýchacím traktu. Větší částice jsou zachyceny v horních partiích dýchacího ústrojí. Částice frakce PM</w:t>
      </w:r>
      <w:r w:rsidRPr="009E426D">
        <w:rPr>
          <w:rFonts w:ascii="Mulish" w:hAnsi="Mulish"/>
          <w:noProof w:val="0"/>
          <w:color w:val="000000" w:themeColor="text1"/>
          <w:sz w:val="22"/>
          <w:szCs w:val="22"/>
          <w:vertAlign w:val="subscript"/>
          <w14:shadow w14:blurRad="0" w14:dist="0" w14:dir="0" w14:sx="0" w14:sy="0" w14:kx="0" w14:ky="0" w14:algn="none">
            <w14:srgbClr w14:val="000000"/>
          </w14:shadow>
        </w:rPr>
        <w:t>10</w:t>
      </w:r>
      <w:r w:rsidRPr="009E426D">
        <w:rPr>
          <w:rFonts w:ascii="Mulish" w:hAnsi="Mulish"/>
          <w:noProof w:val="0"/>
          <w:color w:val="000000" w:themeColor="text1"/>
          <w:sz w:val="22"/>
          <w:szCs w:val="22"/>
          <w14:shadow w14:blurRad="0" w14:dist="0" w14:dir="0" w14:sx="0" w14:sy="0" w14:kx="0" w14:ky="0" w14:algn="none">
            <w14:srgbClr w14:val="000000"/>
          </w14:shadow>
        </w:rPr>
        <w:t xml:space="preserve"> (se střední hodnotou aerodynamického průměru 10 µm) se dostávají do dolních cest dýchacích. Částice označené jako frakce PM</w:t>
      </w:r>
      <w:r w:rsidRPr="009E426D">
        <w:rPr>
          <w:rFonts w:ascii="Mulish" w:hAnsi="Mulish"/>
          <w:noProof w:val="0"/>
          <w:color w:val="000000" w:themeColor="text1"/>
          <w:sz w:val="22"/>
          <w:szCs w:val="22"/>
          <w:vertAlign w:val="subscript"/>
          <w14:shadow w14:blurRad="0" w14:dist="0" w14:dir="0" w14:sx="0" w14:sy="0" w14:kx="0" w14:ky="0" w14:algn="none">
            <w14:srgbClr w14:val="000000"/>
          </w14:shadow>
        </w:rPr>
        <w:t>2,5</w:t>
      </w:r>
      <w:r w:rsidRPr="009E426D">
        <w:rPr>
          <w:rFonts w:ascii="Mulish" w:hAnsi="Mulish"/>
          <w:noProof w:val="0"/>
          <w:color w:val="000000" w:themeColor="text1"/>
          <w:sz w:val="22"/>
          <w:szCs w:val="22"/>
          <w14:shadow w14:blurRad="0" w14:dist="0" w14:dir="0" w14:sx="0" w14:sy="0" w14:kx="0" w14:ky="0" w14:algn="none">
            <w14:srgbClr w14:val="000000"/>
          </w14:shadow>
        </w:rPr>
        <w:t xml:space="preserve"> pronikají do průdušinek, nejjemnější </w:t>
      </w:r>
      <w:proofErr w:type="spellStart"/>
      <w:r w:rsidRPr="009E426D">
        <w:rPr>
          <w:rFonts w:ascii="Mulish" w:hAnsi="Mulish"/>
          <w:noProof w:val="0"/>
          <w:color w:val="000000" w:themeColor="text1"/>
          <w:sz w:val="22"/>
          <w:szCs w:val="22"/>
          <w14:shadow w14:blurRad="0" w14:dist="0" w14:dir="0" w14:sx="0" w14:sy="0" w14:kx="0" w14:ky="0" w14:algn="none">
            <w14:srgbClr w14:val="000000"/>
          </w14:shadow>
        </w:rPr>
        <w:t>submikronová</w:t>
      </w:r>
      <w:proofErr w:type="spellEnd"/>
      <w:r w:rsidRPr="009E426D">
        <w:rPr>
          <w:rFonts w:ascii="Mulish" w:hAnsi="Mulish"/>
          <w:noProof w:val="0"/>
          <w:color w:val="000000" w:themeColor="text1"/>
          <w:sz w:val="22"/>
          <w:szCs w:val="22"/>
          <w14:shadow w14:blurRad="0" w14:dist="0" w14:dir="0" w14:sx="0" w14:sy="0" w14:kx="0" w14:ky="0" w14:algn="none">
            <w14:srgbClr w14:val="000000"/>
          </w14:shadow>
        </w:rPr>
        <w:t xml:space="preserve"> frakce až do plicních sklípků. Účinky suspendovaných částic jsou ovlivněny také adsorpcí dalších znečišťujících látek na jejich povrchu.</w:t>
      </w:r>
      <w:r w:rsidRPr="009E426D">
        <w:rPr>
          <w:rFonts w:ascii="Mulish" w:hAnsi="Mulish"/>
          <w:color w:val="000000" w:themeColor="text1"/>
          <w:sz w:val="22"/>
          <w:szCs w:val="22"/>
        </w:rPr>
        <w:t xml:space="preserve"> </w:t>
      </w:r>
    </w:p>
    <w:p w14:paraId="726A3997" w14:textId="516EE63C" w:rsidR="00194AEB" w:rsidRPr="009E426D" w:rsidRDefault="00194AEB" w:rsidP="00194AEB">
      <w:pPr>
        <w:pStyle w:val="DefaultText1"/>
        <w:spacing w:before="120" w:line="276" w:lineRule="auto"/>
        <w:jc w:val="both"/>
        <w:rPr>
          <w:rFonts w:ascii="Mulish" w:hAnsi="Mulish"/>
          <w:noProof/>
          <w:color w:val="000000" w:themeColor="text1"/>
          <w:sz w:val="22"/>
          <w:szCs w:val="22"/>
        </w:rPr>
      </w:pPr>
      <w:r w:rsidRPr="009E426D">
        <w:rPr>
          <w:rFonts w:ascii="Mulish" w:hAnsi="Mulish"/>
          <w:noProof/>
          <w:color w:val="000000" w:themeColor="text1"/>
          <w:sz w:val="22"/>
          <w:szCs w:val="22"/>
        </w:rPr>
        <w:t xml:space="preserve">Aerosolové částice obsažené ve vdechovaném vzduchu mají široké spektrum účinků na srdečně-cévní a respirační ústrojí. </w:t>
      </w:r>
      <w:r w:rsidRPr="009E426D">
        <w:rPr>
          <w:rFonts w:ascii="Mulish" w:hAnsi="Mulish"/>
          <w:color w:val="000000" w:themeColor="text1"/>
          <w:sz w:val="22"/>
          <w:szCs w:val="22"/>
        </w:rPr>
        <w:t xml:space="preserve">Dráždí sliznici dýchacích cest, </w:t>
      </w:r>
      <w:r w:rsidR="00C655C1">
        <w:rPr>
          <w:rFonts w:ascii="Mulish" w:hAnsi="Mulish"/>
          <w:color w:val="000000" w:themeColor="text1"/>
          <w:sz w:val="22"/>
          <w:szCs w:val="22"/>
        </w:rPr>
        <w:t>mohou</w:t>
      </w:r>
      <w:r w:rsidRPr="009E426D">
        <w:rPr>
          <w:rFonts w:ascii="Mulish" w:hAnsi="Mulish"/>
          <w:color w:val="000000" w:themeColor="text1"/>
          <w:sz w:val="22"/>
          <w:szCs w:val="22"/>
        </w:rPr>
        <w:t xml:space="preserve"> způsobit změnu struktury i funkce řasinkové tkáně, zvýšit produkci hlenu a snížit samočistící schopnosti dýchacího ústrojí. Tyto změny omezují přirozené obranné mechanismy a usnadňují vznik infekce. Recidivující akutní zánětlivá onemocnění mohou vést ke vzniku chronického zánětu průdušek a chronické obstrukční nemoci plic s následným přetížením pravé srdeční komory a oběhovým selháváním. Spolupodílí se vliv mnoha dalších individuálních faktorů, jako je stav imunitního systému organismu, alergická dispozice, expozice látkám v pracovním prostředí, kouření apod. Jednou </w:t>
      </w:r>
      <w:r>
        <w:rPr>
          <w:rFonts w:ascii="Mulish" w:hAnsi="Mulish"/>
          <w:color w:val="000000" w:themeColor="text1"/>
          <w:sz w:val="22"/>
          <w:szCs w:val="22"/>
        </w:rPr>
        <w:br/>
      </w:r>
      <w:r w:rsidRPr="009E426D">
        <w:rPr>
          <w:rFonts w:ascii="Mulish" w:hAnsi="Mulish"/>
          <w:color w:val="000000" w:themeColor="text1"/>
          <w:sz w:val="22"/>
          <w:szCs w:val="22"/>
        </w:rPr>
        <w:t>z obranných funkcí dýchacích cest je pohlcování vdechnutých částic specializovanými buňkami, tzv. makrofágy. Při něm dochází k uvolňování látek, které navozují zánětlivou reakci v plicní tkáni a mohou přestupovat do krevního oběhu. Uvolňované regulační molekuly imunitního systému podporují tvorbu agresivních volných radikálů v bílých krvinkách a tím přispívají k tzv. oxidačnímu stresu. Ten ovlivňuje metabolismus tuků, vede k poškození stěn v tepnách a přispívá k rozvoji aterosklerózy. Dalším z mechanismů, které se podílí na rozvoji srdečních onemocnění, je narušení rovnováhy autonomního nervového systému a ovlivnění elektrické aktivity srdce. Některé studie naznačují, že riziko akutní srdeční příhody je vyšší u diabetiků. Vzhledem k tomuto širokému spektru mechanismů systémového působení a i dalším účinkům jsou aerosolové částice považovány za nejvýznamnější environmentální faktor ovlivňující úmrtnost.</w:t>
      </w:r>
    </w:p>
    <w:p w14:paraId="70304EDD" w14:textId="77777777" w:rsidR="00194AEB" w:rsidRPr="009E426D" w:rsidRDefault="00194AEB" w:rsidP="00194AEB">
      <w:pPr>
        <w:pStyle w:val="DefaultText1"/>
        <w:spacing w:before="120" w:line="276" w:lineRule="auto"/>
        <w:jc w:val="both"/>
        <w:rPr>
          <w:rFonts w:ascii="Mulish" w:hAnsi="Mulish"/>
          <w:color w:val="000000" w:themeColor="text1"/>
          <w:sz w:val="22"/>
          <w:szCs w:val="22"/>
        </w:rPr>
      </w:pPr>
      <w:r w:rsidRPr="009E426D">
        <w:rPr>
          <w:rFonts w:ascii="Mulish" w:hAnsi="Mulish"/>
          <w:noProof/>
          <w:color w:val="000000" w:themeColor="text1"/>
          <w:sz w:val="22"/>
          <w:szCs w:val="22"/>
        </w:rPr>
        <w:t>Aerosolové částice PM samostatně, stejně jako celá směs látek působících znečištění venkovního ovzduší, jsou zařazeny od roku 2013 Mezinárodní Agenturou pro výzkum rakoviny (IARC) Světové zdravotnické organizace (WHO), mezi prokázané lidské karcinogeny skupiny 1, přispívající ke vzniku rakoviny plic. Tento fakt se prozatím nijak neodrazil v doporučeních pro kvantitativní komplexní hodnocení vlivu znečištěného ovzduší.</w:t>
      </w:r>
    </w:p>
    <w:p w14:paraId="084E5B9D" w14:textId="77777777" w:rsidR="00194AEB" w:rsidRPr="009E426D" w:rsidRDefault="00194AEB" w:rsidP="00194AEB">
      <w:pPr>
        <w:pStyle w:val="DefaultText1"/>
        <w:numPr>
          <w:ilvl w:val="0"/>
          <w:numId w:val="26"/>
        </w:numPr>
        <w:spacing w:before="120" w:line="276" w:lineRule="auto"/>
        <w:jc w:val="both"/>
        <w:rPr>
          <w:rFonts w:ascii="Mulish" w:hAnsi="Mulish"/>
          <w:color w:val="000000" w:themeColor="text1"/>
          <w:sz w:val="22"/>
          <w:szCs w:val="22"/>
        </w:rPr>
      </w:pPr>
      <w:r w:rsidRPr="009E426D">
        <w:rPr>
          <w:rFonts w:ascii="Mulish" w:hAnsi="Mulish"/>
          <w:color w:val="000000" w:themeColor="text1"/>
          <w:sz w:val="22"/>
          <w:szCs w:val="22"/>
        </w:rPr>
        <w:t xml:space="preserve">Krátkodobá expozice zvýšeným koncentracím aerosolových částic se podílí na nárůstu celkové nemocnosti i úmrtnosti, zejména na onemocnění srdečně-cévní a dýchací a na zvýšení počtu osob hospitalizovaných pro tato onemocnění, zvýšení kojenecké úmrtnosti, zvýšení výskytu respiračních symptomů jako je kašel a ztížené dýchání – zejména </w:t>
      </w:r>
      <w:r>
        <w:rPr>
          <w:rFonts w:ascii="Mulish" w:hAnsi="Mulish"/>
          <w:color w:val="000000" w:themeColor="text1"/>
          <w:sz w:val="22"/>
          <w:szCs w:val="22"/>
        </w:rPr>
        <w:br/>
      </w:r>
      <w:r w:rsidRPr="009E426D">
        <w:rPr>
          <w:rFonts w:ascii="Mulish" w:hAnsi="Mulish"/>
          <w:color w:val="000000" w:themeColor="text1"/>
          <w:sz w:val="22"/>
          <w:szCs w:val="22"/>
        </w:rPr>
        <w:t>u astmatiků a na změnách plicních funkcí při spirometrickém vyšetření.</w:t>
      </w:r>
    </w:p>
    <w:p w14:paraId="411D5C18" w14:textId="7E78F5D4" w:rsidR="00194AEB" w:rsidRPr="009E426D" w:rsidRDefault="00194AEB" w:rsidP="00194AEB">
      <w:pPr>
        <w:pStyle w:val="DefaultText1"/>
        <w:numPr>
          <w:ilvl w:val="0"/>
          <w:numId w:val="26"/>
        </w:numPr>
        <w:spacing w:before="120" w:line="276" w:lineRule="auto"/>
        <w:jc w:val="both"/>
        <w:rPr>
          <w:rFonts w:ascii="Mulish" w:hAnsi="Mulish"/>
          <w:color w:val="000000" w:themeColor="text1"/>
          <w:sz w:val="22"/>
          <w:szCs w:val="22"/>
        </w:rPr>
      </w:pPr>
      <w:r w:rsidRPr="009E426D">
        <w:rPr>
          <w:rFonts w:ascii="Mulish" w:hAnsi="Mulish"/>
          <w:color w:val="000000" w:themeColor="text1"/>
          <w:sz w:val="22"/>
          <w:szCs w:val="22"/>
        </w:rPr>
        <w:lastRenderedPageBreak/>
        <w:t>Dlouhodobá expozice ovzduší znečištěnému aerosolem má za následek vyšší úmrtnost na choroby srdečně-cévní a respirační, včetně rakoviny plic</w:t>
      </w:r>
      <w:r w:rsidR="0012137B">
        <w:rPr>
          <w:rFonts w:ascii="Mulish" w:hAnsi="Mulish"/>
          <w:color w:val="000000" w:themeColor="text1"/>
          <w:sz w:val="22"/>
          <w:szCs w:val="22"/>
        </w:rPr>
        <w:t>,</w:t>
      </w:r>
      <w:r w:rsidRPr="009E426D">
        <w:rPr>
          <w:rFonts w:ascii="Mulish" w:hAnsi="Mulish"/>
          <w:color w:val="000000" w:themeColor="text1"/>
          <w:sz w:val="22"/>
          <w:szCs w:val="22"/>
        </w:rPr>
        <w:t xml:space="preserve"> a s tím související zkrácení délky života, zvýšení nemocnosti na onemocnění dýchacího ústrojí a výskytu symptomů chronického zánětu průdušek a snížení plicních funkcí u dětí i dospělých.  Přibývá důkazů </w:t>
      </w:r>
      <w:r>
        <w:rPr>
          <w:rFonts w:ascii="Mulish" w:hAnsi="Mulish"/>
          <w:color w:val="000000" w:themeColor="text1"/>
          <w:sz w:val="22"/>
          <w:szCs w:val="22"/>
        </w:rPr>
        <w:br/>
      </w:r>
      <w:r w:rsidRPr="009E426D">
        <w:rPr>
          <w:rFonts w:ascii="Mulish" w:hAnsi="Mulish"/>
          <w:color w:val="000000" w:themeColor="text1"/>
          <w:sz w:val="22"/>
          <w:szCs w:val="22"/>
        </w:rPr>
        <w:t>o vlivu expozice částicím na vznik diabetu II. typu, na neurologický vývoj u dětí a neurologické poruchy u dospělých.</w:t>
      </w:r>
    </w:p>
    <w:p w14:paraId="1E62D831" w14:textId="77777777" w:rsidR="00194AEB" w:rsidRPr="009E426D" w:rsidRDefault="00194AEB" w:rsidP="00194AEB">
      <w:pPr>
        <w:pStyle w:val="DefaultText1"/>
        <w:spacing w:before="120" w:line="276" w:lineRule="auto"/>
        <w:jc w:val="both"/>
        <w:rPr>
          <w:rFonts w:ascii="Mulish" w:hAnsi="Mulish"/>
          <w:color w:val="000000" w:themeColor="text1"/>
          <w:sz w:val="22"/>
          <w:szCs w:val="22"/>
        </w:rPr>
      </w:pPr>
      <w:r w:rsidRPr="009E426D">
        <w:rPr>
          <w:rFonts w:ascii="Mulish" w:hAnsi="Mulish"/>
          <w:color w:val="000000" w:themeColor="text1"/>
          <w:sz w:val="22"/>
          <w:szCs w:val="22"/>
        </w:rPr>
        <w:t>Pro působení aerosolových částic v ovzduší nebyla zatím zjištěna bezpečná prahová koncentrace. Podle nedávného hodnocení epidemiologických studií nebylo možné nalézt žádnou takovou mez a zvýšená úmrtnost byla spojena i s velmi nízkými koncentracemi PM</w:t>
      </w:r>
      <w:r w:rsidRPr="009E426D">
        <w:rPr>
          <w:rFonts w:ascii="Mulish" w:hAnsi="Mulish"/>
          <w:color w:val="000000" w:themeColor="text1"/>
          <w:sz w:val="22"/>
          <w:szCs w:val="22"/>
          <w:vertAlign w:val="subscript"/>
        </w:rPr>
        <w:t>2,5</w:t>
      </w:r>
      <w:r w:rsidRPr="009E426D">
        <w:rPr>
          <w:rFonts w:ascii="Mulish" w:hAnsi="Mulish"/>
          <w:color w:val="000000" w:themeColor="text1"/>
          <w:sz w:val="22"/>
          <w:szCs w:val="22"/>
        </w:rPr>
        <w:t xml:space="preserve">, např. </w:t>
      </w:r>
      <w:r>
        <w:rPr>
          <w:rFonts w:ascii="Mulish" w:hAnsi="Mulish"/>
          <w:color w:val="000000" w:themeColor="text1"/>
          <w:sz w:val="22"/>
          <w:szCs w:val="22"/>
        </w:rPr>
        <w:br/>
      </w:r>
      <w:r w:rsidRPr="009E426D">
        <w:rPr>
          <w:rFonts w:ascii="Mulish" w:hAnsi="Mulish"/>
          <w:color w:val="000000" w:themeColor="text1"/>
          <w:sz w:val="22"/>
          <w:szCs w:val="22"/>
        </w:rPr>
        <w:t>8,5 µg/m</w:t>
      </w:r>
      <w:r w:rsidRPr="009E426D">
        <w:rPr>
          <w:rFonts w:ascii="Mulish" w:hAnsi="Mulish"/>
          <w:color w:val="000000" w:themeColor="text1"/>
          <w:sz w:val="22"/>
          <w:szCs w:val="22"/>
          <w:vertAlign w:val="superscript"/>
        </w:rPr>
        <w:t>3</w:t>
      </w:r>
      <w:r w:rsidRPr="009E426D">
        <w:rPr>
          <w:rFonts w:ascii="Mulish" w:hAnsi="Mulish"/>
          <w:color w:val="000000" w:themeColor="text1"/>
          <w:sz w:val="22"/>
          <w:szCs w:val="22"/>
        </w:rPr>
        <w:t>. Předpokládá se, že citlivost jedinců v populaci má tak velkou variabilitu, že ti nejcitlivější jsou v riziku účinků i při velmi nízkých koncentracích. Při chronické expozici suspendovaným částicím frakce PM</w:t>
      </w:r>
      <w:r w:rsidRPr="009E426D">
        <w:rPr>
          <w:rFonts w:ascii="Mulish" w:hAnsi="Mulish"/>
          <w:color w:val="000000" w:themeColor="text1"/>
          <w:sz w:val="22"/>
          <w:szCs w:val="22"/>
          <w:vertAlign w:val="subscript"/>
        </w:rPr>
        <w:t>2,5</w:t>
      </w:r>
      <w:r w:rsidRPr="009E426D">
        <w:rPr>
          <w:rFonts w:ascii="Mulish" w:hAnsi="Mulish"/>
          <w:color w:val="000000" w:themeColor="text1"/>
          <w:sz w:val="22"/>
          <w:szCs w:val="22"/>
        </w:rPr>
        <w:t xml:space="preserve"> se redukce očekávané délky života začíná projevovat již od průměrných ročních koncentrací 5 µg/m</w:t>
      </w:r>
      <w:r w:rsidRPr="009E426D">
        <w:rPr>
          <w:rFonts w:ascii="Mulish" w:hAnsi="Mulish"/>
          <w:color w:val="000000" w:themeColor="text1"/>
          <w:sz w:val="22"/>
          <w:szCs w:val="22"/>
          <w:vertAlign w:val="superscript"/>
        </w:rPr>
        <w:t>3</w:t>
      </w:r>
      <w:r w:rsidRPr="009E426D">
        <w:rPr>
          <w:rFonts w:ascii="Mulish" w:hAnsi="Mulish"/>
          <w:color w:val="000000" w:themeColor="text1"/>
          <w:sz w:val="22"/>
          <w:szCs w:val="22"/>
        </w:rPr>
        <w:t>. Což je koncentrace, která je v aktualizované Směrnici pro kvalitu ovzduší v Evropě 2021 uvedena jako cílová směrná hodnota.</w:t>
      </w:r>
    </w:p>
    <w:p w14:paraId="510C909D" w14:textId="4ED3153B" w:rsidR="00194AEB" w:rsidRPr="009E426D" w:rsidRDefault="00194AEB" w:rsidP="00194AEB">
      <w:pPr>
        <w:pStyle w:val="DefaultText1"/>
        <w:spacing w:before="120" w:line="276" w:lineRule="auto"/>
        <w:jc w:val="both"/>
        <w:rPr>
          <w:rFonts w:ascii="Mulish" w:hAnsi="Mulish"/>
          <w:color w:val="000000" w:themeColor="text1"/>
          <w:sz w:val="22"/>
          <w:szCs w:val="22"/>
        </w:rPr>
      </w:pPr>
      <w:r w:rsidRPr="009E426D">
        <w:rPr>
          <w:rFonts w:ascii="Mulish" w:hAnsi="Mulish"/>
          <w:color w:val="000000" w:themeColor="text1"/>
          <w:sz w:val="22"/>
          <w:szCs w:val="22"/>
        </w:rPr>
        <w:t xml:space="preserve">Zásadním ukazatelem zdravotních dopadů dlouhodobé expozice je </w:t>
      </w:r>
      <w:r w:rsidRPr="009E426D">
        <w:rPr>
          <w:rFonts w:ascii="Mulish" w:hAnsi="Mulish"/>
          <w:color w:val="000000" w:themeColor="text1"/>
          <w:sz w:val="22"/>
          <w:szCs w:val="22"/>
          <w:u w:val="single"/>
        </w:rPr>
        <w:t>odhad počtu předčasně zemřelých pro dospělou populaci s vyloučením vnějších příčin úmrtí</w:t>
      </w:r>
      <w:r w:rsidRPr="009E426D">
        <w:rPr>
          <w:rFonts w:ascii="Mulish" w:hAnsi="Mulish"/>
          <w:color w:val="000000" w:themeColor="text1"/>
          <w:sz w:val="22"/>
          <w:szCs w:val="22"/>
        </w:rPr>
        <w:t xml:space="preserve"> (úrazy</w:t>
      </w:r>
      <w:r w:rsidR="00AB6EBA">
        <w:rPr>
          <w:rFonts w:ascii="Mulish" w:hAnsi="Mulish"/>
          <w:color w:val="000000" w:themeColor="text1"/>
          <w:sz w:val="22"/>
          <w:szCs w:val="22"/>
        </w:rPr>
        <w:t>,</w:t>
      </w:r>
      <w:r w:rsidRPr="009E426D">
        <w:rPr>
          <w:rFonts w:ascii="Mulish" w:hAnsi="Mulish"/>
          <w:color w:val="000000" w:themeColor="text1"/>
          <w:sz w:val="22"/>
          <w:szCs w:val="22"/>
        </w:rPr>
        <w:t xml:space="preserve"> sebevraždy apod.). Tento ukazatel zahrnuje jak předčasnou úmrtnost pro jednotlivé příčiny úmrtí (kardiovaskulární nebo respirační onemocnění, rakoviny plic atd.), tak i úmrtí v důsledku krátkodobé expozice aerosolu. </w:t>
      </w:r>
    </w:p>
    <w:p w14:paraId="6A14B571" w14:textId="77777777" w:rsidR="00194AEB" w:rsidRDefault="00194AEB" w:rsidP="00194AEB">
      <w:pPr>
        <w:pStyle w:val="DefaultText1"/>
        <w:spacing w:before="120" w:line="276" w:lineRule="auto"/>
        <w:jc w:val="both"/>
        <w:rPr>
          <w:rFonts w:ascii="Mulish" w:hAnsi="Mulish"/>
          <w:bCs/>
          <w:color w:val="000000" w:themeColor="text1"/>
          <w:sz w:val="22"/>
          <w:szCs w:val="22"/>
        </w:rPr>
      </w:pPr>
      <w:r w:rsidRPr="009E426D">
        <w:rPr>
          <w:rFonts w:ascii="Mulish" w:hAnsi="Mulish"/>
          <w:noProof/>
          <w:color w:val="000000" w:themeColor="text1"/>
          <w:sz w:val="22"/>
          <w:szCs w:val="22"/>
        </w:rPr>
        <w:t xml:space="preserve">Pro kvantitativní odhad zdravotních dopadů a pro odhad předčasné úmrtnosti z dlouhodobé expozice suspendovaným částicím byly použity Aktualizované Globální pokyny WHO (září 2021) pro kvalitu ovzduší v Evropě (AQG = Air Quality Guidelines). Ty uvádějí vztahy dávky </w:t>
      </w:r>
      <w:r>
        <w:rPr>
          <w:rFonts w:ascii="Mulish" w:hAnsi="Mulish"/>
          <w:noProof/>
          <w:color w:val="000000" w:themeColor="text1"/>
          <w:sz w:val="22"/>
          <w:szCs w:val="22"/>
        </w:rPr>
        <w:br/>
      </w:r>
      <w:r w:rsidRPr="009E426D">
        <w:rPr>
          <w:rFonts w:ascii="Mulish" w:hAnsi="Mulish"/>
          <w:noProof/>
          <w:color w:val="000000" w:themeColor="text1"/>
          <w:sz w:val="22"/>
          <w:szCs w:val="22"/>
        </w:rPr>
        <w:t>a účinku odvozené pro frakci PM</w:t>
      </w:r>
      <w:r w:rsidRPr="009E426D">
        <w:rPr>
          <w:rFonts w:ascii="Mulish" w:hAnsi="Mulish"/>
          <w:noProof/>
          <w:color w:val="000000" w:themeColor="text1"/>
          <w:sz w:val="22"/>
          <w:szCs w:val="22"/>
          <w:vertAlign w:val="subscript"/>
        </w:rPr>
        <w:t>10</w:t>
      </w:r>
      <w:r w:rsidRPr="009E426D">
        <w:rPr>
          <w:rFonts w:ascii="Mulish" w:hAnsi="Mulish"/>
          <w:noProof/>
          <w:color w:val="000000" w:themeColor="text1"/>
          <w:sz w:val="22"/>
          <w:szCs w:val="22"/>
        </w:rPr>
        <w:t xml:space="preserve"> i PM</w:t>
      </w:r>
      <w:r w:rsidRPr="009E426D">
        <w:rPr>
          <w:rFonts w:ascii="Mulish" w:hAnsi="Mulish"/>
          <w:noProof/>
          <w:color w:val="000000" w:themeColor="text1"/>
          <w:sz w:val="22"/>
          <w:szCs w:val="22"/>
          <w:vertAlign w:val="subscript"/>
        </w:rPr>
        <w:t>2,5</w:t>
      </w:r>
      <w:r w:rsidRPr="009E426D">
        <w:rPr>
          <w:rFonts w:ascii="Mulish" w:hAnsi="Mulish"/>
          <w:noProof/>
          <w:color w:val="000000" w:themeColor="text1"/>
          <w:sz w:val="22"/>
          <w:szCs w:val="22"/>
        </w:rPr>
        <w:t>, ale doporučují přednostně používat vztah odvozený pro frakci PM</w:t>
      </w:r>
      <w:r w:rsidRPr="009E426D">
        <w:rPr>
          <w:rFonts w:ascii="Mulish" w:hAnsi="Mulish"/>
          <w:noProof/>
          <w:color w:val="000000" w:themeColor="text1"/>
          <w:sz w:val="22"/>
          <w:szCs w:val="22"/>
          <w:vertAlign w:val="subscript"/>
        </w:rPr>
        <w:t>2,5</w:t>
      </w:r>
      <w:r w:rsidRPr="009E426D">
        <w:rPr>
          <w:rFonts w:ascii="Mulish" w:hAnsi="Mulish"/>
          <w:noProof/>
          <w:color w:val="000000" w:themeColor="text1"/>
          <w:sz w:val="22"/>
          <w:szCs w:val="22"/>
        </w:rPr>
        <w:t>. Podle WHO nárůst průměrné roční koncentrace frakce suspendovaných částic PM</w:t>
      </w:r>
      <w:r w:rsidRPr="009E426D">
        <w:rPr>
          <w:rFonts w:ascii="Mulish" w:hAnsi="Mulish"/>
          <w:noProof/>
          <w:color w:val="000000" w:themeColor="text1"/>
          <w:sz w:val="22"/>
          <w:szCs w:val="22"/>
          <w:vertAlign w:val="subscript"/>
        </w:rPr>
        <w:t>2,5</w:t>
      </w:r>
      <w:r w:rsidRPr="009E426D">
        <w:rPr>
          <w:rFonts w:ascii="Mulish" w:hAnsi="Mulish"/>
          <w:noProof/>
          <w:color w:val="000000" w:themeColor="text1"/>
          <w:sz w:val="22"/>
          <w:szCs w:val="22"/>
        </w:rPr>
        <w:t xml:space="preserve"> o 10 µg/m</w:t>
      </w:r>
      <w:r w:rsidRPr="009E426D">
        <w:rPr>
          <w:rFonts w:ascii="Mulish" w:hAnsi="Mulish"/>
          <w:noProof/>
          <w:color w:val="000000" w:themeColor="text1"/>
          <w:sz w:val="22"/>
          <w:szCs w:val="22"/>
          <w:vertAlign w:val="superscript"/>
        </w:rPr>
        <w:t>3</w:t>
      </w:r>
      <w:r w:rsidRPr="009E426D">
        <w:rPr>
          <w:rFonts w:ascii="Mulish" w:hAnsi="Mulish"/>
          <w:noProof/>
          <w:color w:val="000000" w:themeColor="text1"/>
          <w:sz w:val="22"/>
          <w:szCs w:val="22"/>
        </w:rPr>
        <w:t xml:space="preserve"> zvyšuje celkovou úmrtnost exponované populace o 8 %. U PM</w:t>
      </w:r>
      <w:r w:rsidRPr="009E426D">
        <w:rPr>
          <w:rFonts w:ascii="Mulish" w:hAnsi="Mulish"/>
          <w:noProof/>
          <w:color w:val="000000" w:themeColor="text1"/>
          <w:sz w:val="22"/>
          <w:szCs w:val="22"/>
          <w:vertAlign w:val="subscript"/>
        </w:rPr>
        <w:t>10</w:t>
      </w:r>
      <w:r w:rsidRPr="009E426D">
        <w:rPr>
          <w:rFonts w:ascii="Mulish" w:hAnsi="Mulish"/>
          <w:noProof/>
          <w:color w:val="000000" w:themeColor="text1"/>
          <w:sz w:val="22"/>
          <w:szCs w:val="22"/>
        </w:rPr>
        <w:t xml:space="preserve"> podle WHO navýšení roční koncentrace frakce PM</w:t>
      </w:r>
      <w:r w:rsidRPr="009E426D">
        <w:rPr>
          <w:rFonts w:ascii="Mulish" w:hAnsi="Mulish"/>
          <w:noProof/>
          <w:color w:val="000000" w:themeColor="text1"/>
          <w:sz w:val="22"/>
          <w:szCs w:val="22"/>
          <w:vertAlign w:val="subscript"/>
        </w:rPr>
        <w:t>10</w:t>
      </w:r>
      <w:r w:rsidRPr="009E426D">
        <w:rPr>
          <w:rFonts w:ascii="Mulish" w:hAnsi="Mulish"/>
          <w:noProof/>
          <w:color w:val="000000" w:themeColor="text1"/>
          <w:sz w:val="22"/>
          <w:szCs w:val="22"/>
        </w:rPr>
        <w:t xml:space="preserve"> o 10 µg/m</w:t>
      </w:r>
      <w:r w:rsidRPr="009E426D">
        <w:rPr>
          <w:rFonts w:ascii="Mulish" w:hAnsi="Mulish"/>
          <w:noProof/>
          <w:color w:val="000000" w:themeColor="text1"/>
          <w:sz w:val="22"/>
          <w:szCs w:val="22"/>
          <w:vertAlign w:val="superscript"/>
        </w:rPr>
        <w:t>3</w:t>
      </w:r>
      <w:r w:rsidRPr="009E426D">
        <w:rPr>
          <w:rFonts w:ascii="Mulish" w:hAnsi="Mulish"/>
          <w:noProof/>
          <w:color w:val="000000" w:themeColor="text1"/>
          <w:sz w:val="22"/>
          <w:szCs w:val="22"/>
        </w:rPr>
        <w:t xml:space="preserve"> zvyšuje celkovou úmrtnost </w:t>
      </w:r>
      <w:r w:rsidRPr="009E426D">
        <w:rPr>
          <w:rFonts w:ascii="Mulish" w:hAnsi="Mulish"/>
          <w:bCs/>
          <w:color w:val="000000" w:themeColor="text1"/>
          <w:sz w:val="22"/>
          <w:szCs w:val="22"/>
        </w:rPr>
        <w:t>exponované populace o 4,1 %.</w:t>
      </w:r>
    </w:p>
    <w:p w14:paraId="3781AB29" w14:textId="77777777" w:rsidR="00194AEB" w:rsidRPr="001507B2" w:rsidRDefault="00194AEB" w:rsidP="00194AEB">
      <w:pPr>
        <w:spacing w:before="120" w:line="276" w:lineRule="auto"/>
        <w:jc w:val="both"/>
        <w:rPr>
          <w:color w:val="auto"/>
          <w:sz w:val="22"/>
          <w:szCs w:val="22"/>
        </w:rPr>
      </w:pPr>
      <w:r w:rsidRPr="001507B2">
        <w:rPr>
          <w:color w:val="auto"/>
          <w:sz w:val="22"/>
          <w:szCs w:val="22"/>
        </w:rPr>
        <w:t xml:space="preserve">Dlouhodobě zvýšené koncentrace suspendovaných částic se podílí na výskytu různých symptomů zhoršení stavu dýchacích cest, zvýšení nemocnosti i úmrtnosti. Právě úmrtnost bývá nejčastěji používána pro ilustrování negativních vlivů částic. </w:t>
      </w:r>
    </w:p>
    <w:p w14:paraId="6FC6F1E6" w14:textId="18E62004" w:rsidR="00830024" w:rsidRPr="009E426D" w:rsidRDefault="00830024" w:rsidP="009E426D">
      <w:pPr>
        <w:pStyle w:val="DefaultText1"/>
        <w:spacing w:before="120" w:line="276" w:lineRule="auto"/>
        <w:jc w:val="both"/>
        <w:rPr>
          <w:rFonts w:ascii="Mulish" w:hAnsi="Mulish"/>
          <w:noProof/>
          <w:color w:val="000000" w:themeColor="text1"/>
          <w:sz w:val="22"/>
          <w:szCs w:val="22"/>
        </w:rPr>
      </w:pPr>
      <w:r w:rsidRPr="009E426D">
        <w:rPr>
          <w:rFonts w:ascii="Mulish" w:hAnsi="Mulish"/>
          <w:noProof/>
          <w:color w:val="000000" w:themeColor="text1"/>
          <w:sz w:val="22"/>
          <w:szCs w:val="22"/>
        </w:rPr>
        <w:t xml:space="preserve">I díky mírnému poklesu v roce 2022, ve srovnání s rokem 2021, je odhad hodnoty lineárního trendu (příloha č. 2) </w:t>
      </w:r>
      <w:r w:rsidR="00552610">
        <w:rPr>
          <w:rFonts w:ascii="Mulish" w:hAnsi="Mulish"/>
          <w:noProof/>
          <w:color w:val="000000" w:themeColor="text1"/>
          <w:sz w:val="22"/>
          <w:szCs w:val="22"/>
        </w:rPr>
        <w:t xml:space="preserve">pro obě frakce </w:t>
      </w:r>
      <w:r w:rsidRPr="009E426D">
        <w:rPr>
          <w:rFonts w:ascii="Mulish" w:hAnsi="Mulish"/>
          <w:noProof/>
          <w:color w:val="000000" w:themeColor="text1"/>
          <w:sz w:val="22"/>
          <w:szCs w:val="22"/>
        </w:rPr>
        <w:t>stále klesající. Přesto roční imisní charakteristiky suspendovaných částic frakce PM</w:t>
      </w:r>
      <w:r w:rsidRPr="009E426D">
        <w:rPr>
          <w:rFonts w:ascii="Mulish" w:hAnsi="Mulish"/>
          <w:noProof/>
          <w:color w:val="000000" w:themeColor="text1"/>
          <w:sz w:val="22"/>
          <w:szCs w:val="22"/>
          <w:vertAlign w:val="subscript"/>
        </w:rPr>
        <w:t>10</w:t>
      </w:r>
      <w:r w:rsidRPr="009E426D">
        <w:rPr>
          <w:rFonts w:ascii="Mulish" w:hAnsi="Mulish"/>
          <w:noProof/>
          <w:color w:val="000000" w:themeColor="text1"/>
          <w:sz w:val="22"/>
          <w:szCs w:val="22"/>
        </w:rPr>
        <w:t xml:space="preserve"> a PM</w:t>
      </w:r>
      <w:r w:rsidRPr="009E426D">
        <w:rPr>
          <w:rFonts w:ascii="Mulish" w:hAnsi="Mulish"/>
          <w:noProof/>
          <w:color w:val="000000" w:themeColor="text1"/>
          <w:sz w:val="22"/>
          <w:szCs w:val="22"/>
          <w:vertAlign w:val="subscript"/>
        </w:rPr>
        <w:t>2,5</w:t>
      </w:r>
      <w:r w:rsidRPr="009E426D">
        <w:rPr>
          <w:rFonts w:ascii="Mulish" w:hAnsi="Mulish"/>
          <w:noProof/>
          <w:color w:val="000000" w:themeColor="text1"/>
          <w:sz w:val="22"/>
          <w:szCs w:val="22"/>
        </w:rPr>
        <w:t xml:space="preserve"> nejenom v průmyslem zatížených oblastech, ale i v městských dopravně exponovaných lokalitách, překračují jak doporučené hodnoty WHO, tak i imisní limity. </w:t>
      </w:r>
    </w:p>
    <w:p w14:paraId="0BE4C4A8" w14:textId="2544AC76" w:rsidR="00C655C1" w:rsidRDefault="00830024" w:rsidP="00C655C1">
      <w:pPr>
        <w:pStyle w:val="DefaultText1"/>
        <w:numPr>
          <w:ilvl w:val="0"/>
          <w:numId w:val="31"/>
        </w:numPr>
        <w:spacing w:before="120" w:line="276" w:lineRule="auto"/>
        <w:jc w:val="both"/>
        <w:rPr>
          <w:rFonts w:ascii="Mulish" w:hAnsi="Mulish"/>
          <w:color w:val="000000" w:themeColor="text1"/>
          <w:sz w:val="22"/>
          <w:szCs w:val="22"/>
        </w:rPr>
      </w:pPr>
      <w:r w:rsidRPr="00C655C1">
        <w:rPr>
          <w:rFonts w:ascii="Mulish" w:hAnsi="Mulish"/>
          <w:color w:val="000000" w:themeColor="text1"/>
          <w:sz w:val="22"/>
          <w:szCs w:val="22"/>
        </w:rPr>
        <w:lastRenderedPageBreak/>
        <w:t xml:space="preserve">U </w:t>
      </w:r>
      <w:r w:rsidRPr="00C655C1">
        <w:rPr>
          <w:rFonts w:ascii="Mulish" w:hAnsi="Mulish"/>
          <w:b/>
          <w:color w:val="000000" w:themeColor="text1"/>
          <w:sz w:val="22"/>
          <w:szCs w:val="22"/>
        </w:rPr>
        <w:t>frakce PM</w:t>
      </w:r>
      <w:r w:rsidRPr="00C655C1">
        <w:rPr>
          <w:rFonts w:ascii="Mulish" w:hAnsi="Mulish"/>
          <w:b/>
          <w:color w:val="000000" w:themeColor="text1"/>
          <w:sz w:val="22"/>
          <w:szCs w:val="22"/>
          <w:vertAlign w:val="subscript"/>
        </w:rPr>
        <w:t>10</w:t>
      </w:r>
      <w:r w:rsidRPr="00C655C1">
        <w:rPr>
          <w:rFonts w:ascii="Mulish" w:hAnsi="Mulish"/>
          <w:color w:val="000000" w:themeColor="text1"/>
          <w:sz w:val="22"/>
          <w:szCs w:val="22"/>
        </w:rPr>
        <w:t xml:space="preserve"> se v roce 2022 hodnoty přírodního pozadí průměrných ročních koncentrací v ČR pohybovaly od 10 do 13 µg/m</w:t>
      </w:r>
      <w:r w:rsidRPr="00C655C1">
        <w:rPr>
          <w:rFonts w:ascii="Mulish" w:hAnsi="Mulish"/>
          <w:color w:val="000000" w:themeColor="text1"/>
          <w:sz w:val="22"/>
          <w:szCs w:val="22"/>
          <w:vertAlign w:val="superscript"/>
        </w:rPr>
        <w:t>3</w:t>
      </w:r>
      <w:r w:rsidRPr="00C655C1">
        <w:rPr>
          <w:rFonts w:ascii="Mulish" w:hAnsi="Mulish"/>
          <w:color w:val="000000" w:themeColor="text1"/>
          <w:sz w:val="22"/>
          <w:szCs w:val="22"/>
        </w:rPr>
        <w:t>. Roční koncentrace frakce PM</w:t>
      </w:r>
      <w:r w:rsidRPr="00C655C1">
        <w:rPr>
          <w:rFonts w:ascii="Mulish" w:hAnsi="Mulish"/>
          <w:color w:val="000000" w:themeColor="text1"/>
          <w:sz w:val="22"/>
          <w:szCs w:val="22"/>
          <w:vertAlign w:val="subscript"/>
        </w:rPr>
        <w:t>10</w:t>
      </w:r>
      <w:r w:rsidRPr="00C655C1">
        <w:rPr>
          <w:rFonts w:ascii="Mulish" w:hAnsi="Mulish"/>
          <w:color w:val="000000" w:themeColor="text1"/>
          <w:sz w:val="22"/>
          <w:szCs w:val="22"/>
        </w:rPr>
        <w:t xml:space="preserve"> na stanicích ve městech, resp. v obydlených oblastech byly mezi 11,4 až 31,3 µg/m</w:t>
      </w:r>
      <w:r w:rsidRPr="00C655C1">
        <w:rPr>
          <w:rFonts w:ascii="Mulish" w:hAnsi="Mulish"/>
          <w:color w:val="000000" w:themeColor="text1"/>
          <w:sz w:val="22"/>
          <w:szCs w:val="22"/>
          <w:vertAlign w:val="superscript"/>
        </w:rPr>
        <w:t>3</w:t>
      </w:r>
      <w:r w:rsidRPr="00C655C1">
        <w:rPr>
          <w:rFonts w:ascii="Mulish" w:hAnsi="Mulish"/>
          <w:color w:val="000000" w:themeColor="text1"/>
          <w:sz w:val="22"/>
          <w:szCs w:val="22"/>
        </w:rPr>
        <w:t xml:space="preserve">. </w:t>
      </w:r>
      <w:r w:rsidR="00C655C1" w:rsidRPr="009E426D">
        <w:rPr>
          <w:rFonts w:ascii="Mulish" w:hAnsi="Mulish"/>
          <w:color w:val="000000" w:themeColor="text1"/>
          <w:sz w:val="22"/>
          <w:szCs w:val="22"/>
        </w:rPr>
        <w:t xml:space="preserve">Proti roku 2021 se jedná </w:t>
      </w:r>
      <w:r w:rsidR="00C655C1">
        <w:rPr>
          <w:rFonts w:ascii="Mulish" w:hAnsi="Mulish"/>
          <w:color w:val="000000" w:themeColor="text1"/>
          <w:sz w:val="22"/>
          <w:szCs w:val="22"/>
        </w:rPr>
        <w:br/>
      </w:r>
      <w:r w:rsidR="00C655C1" w:rsidRPr="009E426D">
        <w:rPr>
          <w:rFonts w:ascii="Mulish" w:hAnsi="Mulish"/>
          <w:color w:val="000000" w:themeColor="text1"/>
          <w:sz w:val="22"/>
          <w:szCs w:val="22"/>
        </w:rPr>
        <w:t>u frakce PM</w:t>
      </w:r>
      <w:r w:rsidR="00C655C1" w:rsidRPr="009E426D">
        <w:rPr>
          <w:rFonts w:ascii="Mulish" w:hAnsi="Mulish"/>
          <w:color w:val="000000" w:themeColor="text1"/>
          <w:sz w:val="22"/>
          <w:szCs w:val="22"/>
          <w:vertAlign w:val="subscript"/>
        </w:rPr>
        <w:t>10</w:t>
      </w:r>
      <w:r w:rsidR="00C655C1" w:rsidRPr="009E426D">
        <w:rPr>
          <w:rFonts w:ascii="Mulish" w:hAnsi="Mulish"/>
          <w:color w:val="000000" w:themeColor="text1"/>
          <w:sz w:val="22"/>
          <w:szCs w:val="22"/>
        </w:rPr>
        <w:t xml:space="preserve"> o mírné zhoršení.</w:t>
      </w:r>
      <w:r w:rsidR="00C655C1">
        <w:rPr>
          <w:rFonts w:ascii="Mulish" w:hAnsi="Mulish"/>
          <w:color w:val="000000" w:themeColor="text1"/>
          <w:sz w:val="22"/>
          <w:szCs w:val="22"/>
        </w:rPr>
        <w:t xml:space="preserve"> </w:t>
      </w:r>
      <w:r w:rsidR="00C655C1" w:rsidRPr="00C655C1">
        <w:rPr>
          <w:rFonts w:ascii="Mulish" w:hAnsi="Mulish"/>
          <w:color w:val="000000" w:themeColor="text1"/>
          <w:sz w:val="22"/>
          <w:szCs w:val="22"/>
        </w:rPr>
        <w:t>Ma</w:t>
      </w:r>
      <w:r w:rsidRPr="00C655C1">
        <w:rPr>
          <w:rFonts w:ascii="Mulish" w:hAnsi="Mulish"/>
          <w:color w:val="000000" w:themeColor="text1"/>
          <w:sz w:val="22"/>
          <w:szCs w:val="22"/>
        </w:rPr>
        <w:t>ximální 1hodinové koncentrace ale mohly v extrémně zatížených lokalitách v období nepříznivých rozptylových podmínek dosáhnout až několika set µg/m</w:t>
      </w:r>
      <w:r w:rsidRPr="00C655C1">
        <w:rPr>
          <w:rFonts w:ascii="Mulish" w:hAnsi="Mulish"/>
          <w:color w:val="000000" w:themeColor="text1"/>
          <w:sz w:val="22"/>
          <w:szCs w:val="22"/>
          <w:vertAlign w:val="superscript"/>
        </w:rPr>
        <w:t>3</w:t>
      </w:r>
      <w:r w:rsidRPr="00C655C1">
        <w:rPr>
          <w:rFonts w:ascii="Mulish" w:hAnsi="Mulish"/>
          <w:color w:val="000000" w:themeColor="text1"/>
          <w:sz w:val="22"/>
          <w:szCs w:val="22"/>
        </w:rPr>
        <w:t>. Roční imisní limit 40 µg/m</w:t>
      </w:r>
      <w:r w:rsidRPr="00C655C1">
        <w:rPr>
          <w:rFonts w:ascii="Mulish" w:hAnsi="Mulish"/>
          <w:color w:val="000000" w:themeColor="text1"/>
          <w:sz w:val="22"/>
          <w:szCs w:val="22"/>
          <w:vertAlign w:val="superscript"/>
        </w:rPr>
        <w:t>3</w:t>
      </w:r>
      <w:r w:rsidRPr="00C655C1">
        <w:rPr>
          <w:rFonts w:ascii="Mulish" w:hAnsi="Mulish"/>
          <w:color w:val="000000" w:themeColor="text1"/>
          <w:sz w:val="22"/>
          <w:szCs w:val="22"/>
        </w:rPr>
        <w:t xml:space="preserve">  nebyl v roce 2022 na žádné měřicí stanici překročen a 36</w:t>
      </w:r>
      <w:r w:rsidR="0081428E">
        <w:rPr>
          <w:rFonts w:ascii="Mulish" w:hAnsi="Mulish"/>
          <w:color w:val="000000" w:themeColor="text1"/>
          <w:sz w:val="22"/>
          <w:szCs w:val="22"/>
        </w:rPr>
        <w:t xml:space="preserve">. </w:t>
      </w:r>
      <w:r w:rsidRPr="00C655C1">
        <w:rPr>
          <w:rFonts w:ascii="Mulish" w:hAnsi="Mulish"/>
          <w:color w:val="000000" w:themeColor="text1"/>
          <w:sz w:val="22"/>
          <w:szCs w:val="22"/>
        </w:rPr>
        <w:t>nejvyšší 24hodinová hodnota překročila 50 µg/m</w:t>
      </w:r>
      <w:r w:rsidRPr="00C655C1">
        <w:rPr>
          <w:rFonts w:ascii="Mulish" w:hAnsi="Mulish"/>
          <w:color w:val="000000" w:themeColor="text1"/>
          <w:sz w:val="22"/>
          <w:szCs w:val="22"/>
          <w:vertAlign w:val="superscript"/>
        </w:rPr>
        <w:t>3</w:t>
      </w:r>
      <w:r w:rsidRPr="00C655C1">
        <w:rPr>
          <w:rFonts w:ascii="Mulish" w:hAnsi="Mulish"/>
          <w:color w:val="000000" w:themeColor="text1"/>
          <w:sz w:val="22"/>
          <w:szCs w:val="22"/>
        </w:rPr>
        <w:t xml:space="preserve"> (druhé kritérium překročení imisního limitu) jen na třech stanicích v MSK. </w:t>
      </w:r>
    </w:p>
    <w:p w14:paraId="79187976" w14:textId="62DCD25E" w:rsidR="00830024" w:rsidRPr="00C655C1" w:rsidRDefault="00830024" w:rsidP="00C655C1">
      <w:pPr>
        <w:pStyle w:val="DefaultText1"/>
        <w:numPr>
          <w:ilvl w:val="0"/>
          <w:numId w:val="31"/>
        </w:numPr>
        <w:spacing w:before="120" w:line="276" w:lineRule="auto"/>
        <w:jc w:val="both"/>
        <w:rPr>
          <w:rFonts w:ascii="Mulish" w:hAnsi="Mulish"/>
          <w:color w:val="000000" w:themeColor="text1"/>
          <w:sz w:val="22"/>
          <w:szCs w:val="22"/>
        </w:rPr>
      </w:pPr>
      <w:r w:rsidRPr="00C655C1">
        <w:rPr>
          <w:rFonts w:ascii="Mulish" w:hAnsi="Mulish"/>
          <w:color w:val="000000" w:themeColor="text1"/>
          <w:sz w:val="22"/>
          <w:szCs w:val="22"/>
        </w:rPr>
        <w:t xml:space="preserve">Tabulka č. </w:t>
      </w:r>
      <w:r w:rsidRPr="00C655C1">
        <w:rPr>
          <w:rFonts w:ascii="Mulish" w:hAnsi="Mulish"/>
          <w:color w:val="000000" w:themeColor="text1"/>
          <w:sz w:val="22"/>
          <w:szCs w:val="22"/>
        </w:rPr>
        <w:fldChar w:fldCharType="begin"/>
      </w:r>
      <w:r w:rsidRPr="00C655C1">
        <w:rPr>
          <w:rFonts w:ascii="Mulish" w:hAnsi="Mulish"/>
          <w:color w:val="000000" w:themeColor="text1"/>
          <w:sz w:val="22"/>
          <w:szCs w:val="22"/>
        </w:rPr>
        <w:instrText xml:space="preserve"> SEQ Tabulka_č._ \* ARABIC </w:instrText>
      </w:r>
      <w:r w:rsidRPr="00C655C1">
        <w:rPr>
          <w:rFonts w:ascii="Mulish" w:hAnsi="Mulish"/>
          <w:color w:val="000000" w:themeColor="text1"/>
          <w:sz w:val="22"/>
          <w:szCs w:val="22"/>
        </w:rPr>
        <w:fldChar w:fldCharType="separate"/>
      </w:r>
      <w:r w:rsidR="00D30EF9">
        <w:rPr>
          <w:rFonts w:ascii="Mulish" w:hAnsi="Mulish"/>
          <w:noProof/>
          <w:color w:val="000000" w:themeColor="text1"/>
          <w:sz w:val="22"/>
          <w:szCs w:val="22"/>
        </w:rPr>
        <w:t>5</w:t>
      </w:r>
      <w:r w:rsidRPr="00C655C1">
        <w:rPr>
          <w:rFonts w:ascii="Mulish" w:hAnsi="Mulish"/>
          <w:color w:val="000000" w:themeColor="text1"/>
          <w:sz w:val="22"/>
          <w:szCs w:val="22"/>
        </w:rPr>
        <w:fldChar w:fldCharType="end"/>
      </w:r>
      <w:r w:rsidRPr="00C655C1">
        <w:rPr>
          <w:rFonts w:ascii="Mulish" w:hAnsi="Mulish"/>
          <w:color w:val="000000" w:themeColor="text1"/>
          <w:sz w:val="22"/>
          <w:szCs w:val="22"/>
        </w:rPr>
        <w:t>. Rozpětí ročních průměrů PM</w:t>
      </w:r>
      <w:r w:rsidRPr="00C655C1">
        <w:rPr>
          <w:rFonts w:ascii="Mulish" w:hAnsi="Mulish"/>
          <w:color w:val="000000" w:themeColor="text1"/>
          <w:sz w:val="22"/>
          <w:szCs w:val="22"/>
          <w:vertAlign w:val="subscript"/>
        </w:rPr>
        <w:t>10</w:t>
      </w:r>
      <w:r w:rsidRPr="00C655C1">
        <w:rPr>
          <w:rFonts w:ascii="Mulish" w:hAnsi="Mulish"/>
          <w:color w:val="000000" w:themeColor="text1"/>
          <w:sz w:val="22"/>
          <w:szCs w:val="22"/>
        </w:rPr>
        <w:t xml:space="preserve"> </w:t>
      </w:r>
      <w:r w:rsidR="00194AEB" w:rsidRPr="00C655C1">
        <w:rPr>
          <w:rFonts w:ascii="Mulish" w:hAnsi="Mulish"/>
          <w:color w:val="000000" w:themeColor="text1"/>
          <w:sz w:val="22"/>
          <w:szCs w:val="22"/>
        </w:rPr>
        <w:t xml:space="preserve">a odhadu předčasné úmrtnosti </w:t>
      </w:r>
      <w:r w:rsidRPr="00C655C1">
        <w:rPr>
          <w:rFonts w:ascii="Mulish" w:hAnsi="Mulish"/>
          <w:color w:val="000000" w:themeColor="text1"/>
          <w:sz w:val="22"/>
          <w:szCs w:val="22"/>
        </w:rPr>
        <w:t>v roce 2022 v ČR a v jednotlivých typech městských lokalit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844"/>
        <w:gridCol w:w="835"/>
        <w:gridCol w:w="1782"/>
        <w:gridCol w:w="2127"/>
      </w:tblGrid>
      <w:tr w:rsidR="00194AEB" w:rsidRPr="005C0389" w14:paraId="748A8B5B" w14:textId="77777777" w:rsidTr="00D00416">
        <w:trPr>
          <w:jc w:val="center"/>
        </w:trPr>
        <w:tc>
          <w:tcPr>
            <w:tcW w:w="3235" w:type="dxa"/>
            <w:vMerge w:val="restart"/>
            <w:shd w:val="clear" w:color="auto" w:fill="B4C6E7" w:themeFill="accent1" w:themeFillTint="66"/>
            <w:vAlign w:val="center"/>
          </w:tcPr>
          <w:p w14:paraId="774629D3" w14:textId="77777777" w:rsidR="00194AEB" w:rsidRPr="009E426D" w:rsidRDefault="00194AEB" w:rsidP="00D00416">
            <w:pPr>
              <w:widowControl w:val="0"/>
            </w:pPr>
            <w:r w:rsidRPr="009E426D">
              <w:t>Roční aritmetické průměry</w:t>
            </w:r>
          </w:p>
          <w:p w14:paraId="59BF8B6C" w14:textId="77777777" w:rsidR="00194AEB" w:rsidRPr="009E426D" w:rsidRDefault="00194AEB" w:rsidP="00D00416">
            <w:pPr>
              <w:widowControl w:val="0"/>
              <w:rPr>
                <w:bCs/>
              </w:rPr>
            </w:pPr>
            <w:r w:rsidRPr="009E426D">
              <w:t>rok 2022</w:t>
            </w:r>
          </w:p>
        </w:tc>
        <w:tc>
          <w:tcPr>
            <w:tcW w:w="1679" w:type="dxa"/>
            <w:gridSpan w:val="2"/>
            <w:shd w:val="clear" w:color="auto" w:fill="B4C6E7" w:themeFill="accent1" w:themeFillTint="66"/>
            <w:vAlign w:val="center"/>
          </w:tcPr>
          <w:p w14:paraId="24548D2C" w14:textId="77777777" w:rsidR="00194AEB" w:rsidRPr="009E426D" w:rsidRDefault="00194AEB" w:rsidP="00D00416">
            <w:pPr>
              <w:jc w:val="center"/>
            </w:pPr>
            <w:r w:rsidRPr="009E426D">
              <w:t>PM</w:t>
            </w:r>
            <w:r w:rsidRPr="009E426D">
              <w:rPr>
                <w:vertAlign w:val="subscript"/>
              </w:rPr>
              <w:t>10</w:t>
            </w:r>
            <w:r w:rsidRPr="009E426D">
              <w:t xml:space="preserve"> (µg/m</w:t>
            </w:r>
            <w:r w:rsidRPr="009E426D">
              <w:rPr>
                <w:vertAlign w:val="superscript"/>
              </w:rPr>
              <w:t>3</w:t>
            </w:r>
            <w:r w:rsidRPr="009E426D">
              <w:t>)</w:t>
            </w:r>
          </w:p>
        </w:tc>
        <w:tc>
          <w:tcPr>
            <w:tcW w:w="3909" w:type="dxa"/>
            <w:gridSpan w:val="2"/>
            <w:shd w:val="clear" w:color="auto" w:fill="B4C6E7" w:themeFill="accent1" w:themeFillTint="66"/>
            <w:vAlign w:val="center"/>
          </w:tcPr>
          <w:p w14:paraId="5AB889C7" w14:textId="77777777" w:rsidR="00194AEB" w:rsidRPr="009E426D" w:rsidRDefault="00194AEB" w:rsidP="00D00416">
            <w:pPr>
              <w:widowControl w:val="0"/>
              <w:jc w:val="center"/>
              <w:rPr>
                <w:bCs/>
              </w:rPr>
            </w:pPr>
            <w:r w:rsidRPr="009E426D">
              <w:t xml:space="preserve">Odhad navýšení předčasné úmrtnosti (%) </w:t>
            </w:r>
          </w:p>
        </w:tc>
      </w:tr>
      <w:tr w:rsidR="00194AEB" w:rsidRPr="005C0389" w14:paraId="6CBD6722" w14:textId="77777777" w:rsidTr="00D00416">
        <w:trPr>
          <w:jc w:val="center"/>
        </w:trPr>
        <w:tc>
          <w:tcPr>
            <w:tcW w:w="3235" w:type="dxa"/>
            <w:vMerge/>
            <w:shd w:val="clear" w:color="auto" w:fill="B4C6E7" w:themeFill="accent1" w:themeFillTint="66"/>
            <w:vAlign w:val="center"/>
          </w:tcPr>
          <w:p w14:paraId="021109C3" w14:textId="77777777" w:rsidR="00194AEB" w:rsidRPr="009E426D" w:rsidRDefault="00194AEB" w:rsidP="00D00416">
            <w:pPr>
              <w:widowControl w:val="0"/>
              <w:rPr>
                <w:bCs/>
              </w:rPr>
            </w:pPr>
          </w:p>
        </w:tc>
        <w:tc>
          <w:tcPr>
            <w:tcW w:w="844" w:type="dxa"/>
            <w:shd w:val="clear" w:color="auto" w:fill="B4C6E7" w:themeFill="accent1" w:themeFillTint="66"/>
            <w:vAlign w:val="center"/>
          </w:tcPr>
          <w:p w14:paraId="62B0404D" w14:textId="77777777" w:rsidR="00194AEB" w:rsidRPr="009E426D" w:rsidRDefault="00194AEB" w:rsidP="00D00416">
            <w:pPr>
              <w:widowControl w:val="0"/>
              <w:jc w:val="center"/>
            </w:pPr>
            <w:r>
              <w:t>M</w:t>
            </w:r>
            <w:r w:rsidRPr="009E426D">
              <w:t>in</w:t>
            </w:r>
          </w:p>
        </w:tc>
        <w:tc>
          <w:tcPr>
            <w:tcW w:w="835" w:type="dxa"/>
            <w:shd w:val="clear" w:color="auto" w:fill="B4C6E7" w:themeFill="accent1" w:themeFillTint="66"/>
            <w:vAlign w:val="center"/>
          </w:tcPr>
          <w:p w14:paraId="1E9FA83D" w14:textId="77777777" w:rsidR="00194AEB" w:rsidRPr="009E426D" w:rsidRDefault="00194AEB" w:rsidP="00D00416">
            <w:pPr>
              <w:widowControl w:val="0"/>
              <w:jc w:val="center"/>
            </w:pPr>
            <w:r>
              <w:t>M</w:t>
            </w:r>
            <w:r w:rsidRPr="009E426D">
              <w:t>ax</w:t>
            </w:r>
          </w:p>
        </w:tc>
        <w:tc>
          <w:tcPr>
            <w:tcW w:w="1782" w:type="dxa"/>
            <w:shd w:val="clear" w:color="auto" w:fill="B4C6E7" w:themeFill="accent1" w:themeFillTint="66"/>
            <w:vAlign w:val="center"/>
          </w:tcPr>
          <w:p w14:paraId="6E05E39B" w14:textId="77777777" w:rsidR="00194AEB" w:rsidRPr="009E426D" w:rsidRDefault="00194AEB" w:rsidP="00D00416">
            <w:pPr>
              <w:widowControl w:val="0"/>
              <w:jc w:val="center"/>
            </w:pPr>
            <w:r>
              <w:t>M</w:t>
            </w:r>
            <w:r w:rsidRPr="009E426D">
              <w:t>in</w:t>
            </w:r>
          </w:p>
        </w:tc>
        <w:tc>
          <w:tcPr>
            <w:tcW w:w="2127" w:type="dxa"/>
            <w:shd w:val="clear" w:color="auto" w:fill="B4C6E7" w:themeFill="accent1" w:themeFillTint="66"/>
            <w:vAlign w:val="center"/>
          </w:tcPr>
          <w:p w14:paraId="72F99B08" w14:textId="77777777" w:rsidR="00194AEB" w:rsidRPr="009E426D" w:rsidRDefault="00194AEB" w:rsidP="00D00416">
            <w:pPr>
              <w:widowControl w:val="0"/>
              <w:jc w:val="center"/>
            </w:pPr>
            <w:r>
              <w:t>M</w:t>
            </w:r>
            <w:r w:rsidRPr="009E426D">
              <w:t>ax</w:t>
            </w:r>
          </w:p>
        </w:tc>
      </w:tr>
      <w:tr w:rsidR="00194AEB" w:rsidRPr="005C0389" w14:paraId="66705FA6" w14:textId="77777777" w:rsidTr="00D00416">
        <w:trPr>
          <w:jc w:val="center"/>
        </w:trPr>
        <w:tc>
          <w:tcPr>
            <w:tcW w:w="3235" w:type="dxa"/>
            <w:shd w:val="clear" w:color="auto" w:fill="B4C6E7" w:themeFill="accent1" w:themeFillTint="66"/>
            <w:vAlign w:val="center"/>
          </w:tcPr>
          <w:p w14:paraId="392A6C7A" w14:textId="77777777" w:rsidR="00194AEB" w:rsidRPr="009E426D" w:rsidRDefault="00194AEB" w:rsidP="00D00416">
            <w:pPr>
              <w:widowControl w:val="0"/>
              <w:rPr>
                <w:bCs/>
              </w:rPr>
            </w:pPr>
            <w:r w:rsidRPr="009E426D">
              <w:rPr>
                <w:bCs/>
              </w:rPr>
              <w:t>ČR</w:t>
            </w:r>
          </w:p>
        </w:tc>
        <w:tc>
          <w:tcPr>
            <w:tcW w:w="844" w:type="dxa"/>
            <w:shd w:val="clear" w:color="auto" w:fill="auto"/>
            <w:vAlign w:val="center"/>
          </w:tcPr>
          <w:p w14:paraId="2B90582B" w14:textId="77777777" w:rsidR="00194AEB" w:rsidRPr="009E426D" w:rsidRDefault="00194AEB" w:rsidP="00D00416">
            <w:pPr>
              <w:widowControl w:val="0"/>
              <w:jc w:val="center"/>
              <w:rPr>
                <w:bCs/>
              </w:rPr>
            </w:pPr>
            <w:r w:rsidRPr="009E426D">
              <w:rPr>
                <w:bCs/>
              </w:rPr>
              <w:t>9,9</w:t>
            </w:r>
          </w:p>
        </w:tc>
        <w:tc>
          <w:tcPr>
            <w:tcW w:w="835" w:type="dxa"/>
            <w:shd w:val="clear" w:color="auto" w:fill="auto"/>
            <w:vAlign w:val="center"/>
          </w:tcPr>
          <w:p w14:paraId="5B9326E9" w14:textId="77777777" w:rsidR="00194AEB" w:rsidRPr="009E426D" w:rsidRDefault="00194AEB" w:rsidP="00D00416">
            <w:pPr>
              <w:widowControl w:val="0"/>
              <w:jc w:val="center"/>
              <w:rPr>
                <w:bCs/>
              </w:rPr>
            </w:pPr>
            <w:r w:rsidRPr="009E426D">
              <w:rPr>
                <w:bCs/>
              </w:rPr>
              <w:t>31,3</w:t>
            </w:r>
          </w:p>
        </w:tc>
        <w:tc>
          <w:tcPr>
            <w:tcW w:w="1782" w:type="dxa"/>
            <w:shd w:val="clear" w:color="auto" w:fill="auto"/>
            <w:vAlign w:val="center"/>
          </w:tcPr>
          <w:p w14:paraId="3748A8D0" w14:textId="77777777" w:rsidR="00194AEB" w:rsidRPr="009E426D" w:rsidRDefault="00194AEB" w:rsidP="00D00416">
            <w:pPr>
              <w:widowControl w:val="0"/>
              <w:jc w:val="center"/>
              <w:rPr>
                <w:bCs/>
              </w:rPr>
            </w:pPr>
            <w:r w:rsidRPr="009E426D">
              <w:rPr>
                <w:bCs/>
              </w:rPr>
              <w:t>0</w:t>
            </w:r>
          </w:p>
        </w:tc>
        <w:tc>
          <w:tcPr>
            <w:tcW w:w="2127" w:type="dxa"/>
            <w:shd w:val="clear" w:color="auto" w:fill="auto"/>
            <w:vAlign w:val="center"/>
          </w:tcPr>
          <w:p w14:paraId="79810A2D" w14:textId="77777777" w:rsidR="00194AEB" w:rsidRPr="009E426D" w:rsidRDefault="00194AEB" w:rsidP="00D00416">
            <w:pPr>
              <w:widowControl w:val="0"/>
              <w:jc w:val="center"/>
              <w:rPr>
                <w:bCs/>
              </w:rPr>
            </w:pPr>
            <w:r w:rsidRPr="009E426D">
              <w:rPr>
                <w:bCs/>
              </w:rPr>
              <w:t>6,68</w:t>
            </w:r>
          </w:p>
        </w:tc>
      </w:tr>
      <w:tr w:rsidR="00194AEB" w:rsidRPr="005C0389" w14:paraId="69FC8F2B" w14:textId="77777777" w:rsidTr="00D00416">
        <w:trPr>
          <w:jc w:val="center"/>
        </w:trPr>
        <w:tc>
          <w:tcPr>
            <w:tcW w:w="3235" w:type="dxa"/>
            <w:shd w:val="clear" w:color="auto" w:fill="B4C6E7" w:themeFill="accent1" w:themeFillTint="66"/>
            <w:vAlign w:val="center"/>
          </w:tcPr>
          <w:p w14:paraId="00125487" w14:textId="77777777" w:rsidR="00194AEB" w:rsidRPr="009E426D" w:rsidRDefault="00194AEB" w:rsidP="00D00416">
            <w:pPr>
              <w:widowControl w:val="0"/>
              <w:rPr>
                <w:bCs/>
              </w:rPr>
            </w:pPr>
            <w:r w:rsidRPr="009E426D">
              <w:rPr>
                <w:bCs/>
              </w:rPr>
              <w:t>Města celkem</w:t>
            </w:r>
          </w:p>
        </w:tc>
        <w:tc>
          <w:tcPr>
            <w:tcW w:w="844" w:type="dxa"/>
            <w:shd w:val="clear" w:color="auto" w:fill="auto"/>
            <w:vAlign w:val="center"/>
          </w:tcPr>
          <w:p w14:paraId="5A415DC3" w14:textId="77777777" w:rsidR="00194AEB" w:rsidRPr="009E426D" w:rsidRDefault="00194AEB" w:rsidP="00D00416">
            <w:pPr>
              <w:widowControl w:val="0"/>
              <w:jc w:val="center"/>
              <w:rPr>
                <w:bCs/>
              </w:rPr>
            </w:pPr>
            <w:r w:rsidRPr="009E426D">
              <w:rPr>
                <w:bCs/>
              </w:rPr>
              <w:t>11,4</w:t>
            </w:r>
          </w:p>
        </w:tc>
        <w:tc>
          <w:tcPr>
            <w:tcW w:w="835" w:type="dxa"/>
            <w:shd w:val="clear" w:color="auto" w:fill="auto"/>
            <w:vAlign w:val="center"/>
          </w:tcPr>
          <w:p w14:paraId="18B6EDD1" w14:textId="77777777" w:rsidR="00194AEB" w:rsidRPr="009E426D" w:rsidRDefault="00194AEB" w:rsidP="00D00416">
            <w:pPr>
              <w:widowControl w:val="0"/>
              <w:jc w:val="center"/>
              <w:rPr>
                <w:bCs/>
              </w:rPr>
            </w:pPr>
            <w:r w:rsidRPr="009E426D">
              <w:rPr>
                <w:bCs/>
              </w:rPr>
              <w:t>31,3</w:t>
            </w:r>
          </w:p>
        </w:tc>
        <w:tc>
          <w:tcPr>
            <w:tcW w:w="1782" w:type="dxa"/>
            <w:shd w:val="clear" w:color="auto" w:fill="auto"/>
            <w:vAlign w:val="center"/>
          </w:tcPr>
          <w:p w14:paraId="3CCE2239" w14:textId="77777777" w:rsidR="00194AEB" w:rsidRPr="009E426D" w:rsidRDefault="00194AEB" w:rsidP="00D00416">
            <w:pPr>
              <w:widowControl w:val="0"/>
              <w:jc w:val="center"/>
              <w:rPr>
                <w:bCs/>
              </w:rPr>
            </w:pPr>
            <w:r w:rsidRPr="009E426D">
              <w:rPr>
                <w:bCs/>
              </w:rPr>
              <w:t>0</w:t>
            </w:r>
          </w:p>
        </w:tc>
        <w:tc>
          <w:tcPr>
            <w:tcW w:w="2127" w:type="dxa"/>
            <w:shd w:val="clear" w:color="auto" w:fill="auto"/>
            <w:vAlign w:val="center"/>
          </w:tcPr>
          <w:p w14:paraId="4B03C07E" w14:textId="77777777" w:rsidR="00194AEB" w:rsidRPr="009E426D" w:rsidRDefault="00194AEB" w:rsidP="00D00416">
            <w:pPr>
              <w:widowControl w:val="0"/>
              <w:jc w:val="center"/>
              <w:rPr>
                <w:bCs/>
              </w:rPr>
            </w:pPr>
            <w:r w:rsidRPr="009E426D">
              <w:rPr>
                <w:bCs/>
              </w:rPr>
              <w:t>6,68</w:t>
            </w:r>
          </w:p>
        </w:tc>
      </w:tr>
      <w:tr w:rsidR="00194AEB" w:rsidRPr="005C0389" w14:paraId="7AA392F6" w14:textId="77777777" w:rsidTr="00D00416">
        <w:trPr>
          <w:jc w:val="center"/>
        </w:trPr>
        <w:tc>
          <w:tcPr>
            <w:tcW w:w="3235" w:type="dxa"/>
            <w:shd w:val="clear" w:color="auto" w:fill="B4C6E7" w:themeFill="accent1" w:themeFillTint="66"/>
            <w:vAlign w:val="center"/>
          </w:tcPr>
          <w:p w14:paraId="190D45F5" w14:textId="77777777" w:rsidR="00194AEB" w:rsidRPr="009E426D" w:rsidRDefault="00194AEB" w:rsidP="00D00416">
            <w:pPr>
              <w:widowControl w:val="0"/>
              <w:jc w:val="right"/>
              <w:rPr>
                <w:bCs/>
              </w:rPr>
            </w:pPr>
            <w:r w:rsidRPr="009E426D">
              <w:rPr>
                <w:bCs/>
              </w:rPr>
              <w:t xml:space="preserve">Lokality bez dopravní zátěže </w:t>
            </w:r>
          </w:p>
        </w:tc>
        <w:tc>
          <w:tcPr>
            <w:tcW w:w="844" w:type="dxa"/>
            <w:shd w:val="clear" w:color="auto" w:fill="auto"/>
            <w:vAlign w:val="center"/>
          </w:tcPr>
          <w:p w14:paraId="2D41799C" w14:textId="77777777" w:rsidR="00194AEB" w:rsidRPr="009E426D" w:rsidRDefault="00194AEB" w:rsidP="00D00416">
            <w:pPr>
              <w:widowControl w:val="0"/>
              <w:jc w:val="center"/>
              <w:rPr>
                <w:bCs/>
              </w:rPr>
            </w:pPr>
            <w:r w:rsidRPr="009E426D">
              <w:rPr>
                <w:bCs/>
              </w:rPr>
              <w:t>11,4</w:t>
            </w:r>
          </w:p>
        </w:tc>
        <w:tc>
          <w:tcPr>
            <w:tcW w:w="835" w:type="dxa"/>
            <w:shd w:val="clear" w:color="auto" w:fill="auto"/>
            <w:vAlign w:val="center"/>
          </w:tcPr>
          <w:p w14:paraId="43E31297" w14:textId="77777777" w:rsidR="00194AEB" w:rsidRPr="009E426D" w:rsidRDefault="00194AEB" w:rsidP="00D00416">
            <w:pPr>
              <w:widowControl w:val="0"/>
              <w:jc w:val="center"/>
              <w:rPr>
                <w:bCs/>
              </w:rPr>
            </w:pPr>
            <w:r w:rsidRPr="009E426D">
              <w:rPr>
                <w:bCs/>
              </w:rPr>
              <w:t>25,2</w:t>
            </w:r>
          </w:p>
        </w:tc>
        <w:tc>
          <w:tcPr>
            <w:tcW w:w="1782" w:type="dxa"/>
            <w:shd w:val="clear" w:color="auto" w:fill="auto"/>
            <w:vAlign w:val="center"/>
          </w:tcPr>
          <w:p w14:paraId="794CF82E" w14:textId="77777777" w:rsidR="00194AEB" w:rsidRPr="009E426D" w:rsidRDefault="00194AEB" w:rsidP="00D00416">
            <w:pPr>
              <w:widowControl w:val="0"/>
              <w:jc w:val="center"/>
              <w:rPr>
                <w:bCs/>
              </w:rPr>
            </w:pPr>
            <w:r w:rsidRPr="009E426D">
              <w:rPr>
                <w:bCs/>
              </w:rPr>
              <w:t>0</w:t>
            </w:r>
          </w:p>
        </w:tc>
        <w:tc>
          <w:tcPr>
            <w:tcW w:w="2127" w:type="dxa"/>
            <w:shd w:val="clear" w:color="auto" w:fill="auto"/>
            <w:vAlign w:val="center"/>
          </w:tcPr>
          <w:p w14:paraId="18D9E7F0" w14:textId="77777777" w:rsidR="00194AEB" w:rsidRPr="009E426D" w:rsidRDefault="00194AEB" w:rsidP="00D00416">
            <w:pPr>
              <w:widowControl w:val="0"/>
              <w:jc w:val="center"/>
              <w:rPr>
                <w:bCs/>
              </w:rPr>
            </w:pPr>
            <w:r w:rsidRPr="009E426D">
              <w:rPr>
                <w:bCs/>
              </w:rPr>
              <w:t>4,18</w:t>
            </w:r>
          </w:p>
        </w:tc>
      </w:tr>
      <w:tr w:rsidR="00194AEB" w:rsidRPr="005C0389" w14:paraId="0A5BBF4E" w14:textId="77777777" w:rsidTr="00D00416">
        <w:trPr>
          <w:jc w:val="center"/>
        </w:trPr>
        <w:tc>
          <w:tcPr>
            <w:tcW w:w="3235" w:type="dxa"/>
            <w:shd w:val="clear" w:color="auto" w:fill="B4C6E7" w:themeFill="accent1" w:themeFillTint="66"/>
            <w:vAlign w:val="center"/>
          </w:tcPr>
          <w:p w14:paraId="7049F115" w14:textId="77777777" w:rsidR="00194AEB" w:rsidRPr="009E426D" w:rsidRDefault="00194AEB" w:rsidP="00D00416">
            <w:pPr>
              <w:widowControl w:val="0"/>
              <w:jc w:val="right"/>
              <w:rPr>
                <w:bCs/>
              </w:rPr>
            </w:pPr>
            <w:r w:rsidRPr="009E426D">
              <w:rPr>
                <w:bCs/>
              </w:rPr>
              <w:t>Lokality s dopravní zátěží</w:t>
            </w:r>
          </w:p>
        </w:tc>
        <w:tc>
          <w:tcPr>
            <w:tcW w:w="844" w:type="dxa"/>
            <w:shd w:val="clear" w:color="auto" w:fill="auto"/>
            <w:vAlign w:val="center"/>
          </w:tcPr>
          <w:p w14:paraId="5FB2AD6F" w14:textId="77777777" w:rsidR="00194AEB" w:rsidRPr="009E426D" w:rsidRDefault="00194AEB" w:rsidP="00D00416">
            <w:pPr>
              <w:widowControl w:val="0"/>
              <w:jc w:val="center"/>
              <w:rPr>
                <w:bCs/>
              </w:rPr>
            </w:pPr>
            <w:r w:rsidRPr="009E426D">
              <w:rPr>
                <w:bCs/>
              </w:rPr>
              <w:t>15,9</w:t>
            </w:r>
          </w:p>
        </w:tc>
        <w:tc>
          <w:tcPr>
            <w:tcW w:w="835" w:type="dxa"/>
            <w:shd w:val="clear" w:color="auto" w:fill="auto"/>
            <w:vAlign w:val="center"/>
          </w:tcPr>
          <w:p w14:paraId="64B4706F" w14:textId="77777777" w:rsidR="00194AEB" w:rsidRPr="009E426D" w:rsidRDefault="00194AEB" w:rsidP="00D00416">
            <w:pPr>
              <w:widowControl w:val="0"/>
              <w:jc w:val="center"/>
              <w:rPr>
                <w:bCs/>
              </w:rPr>
            </w:pPr>
            <w:r w:rsidRPr="009E426D">
              <w:rPr>
                <w:bCs/>
              </w:rPr>
              <w:t>26,6</w:t>
            </w:r>
          </w:p>
        </w:tc>
        <w:tc>
          <w:tcPr>
            <w:tcW w:w="1782" w:type="dxa"/>
            <w:shd w:val="clear" w:color="auto" w:fill="auto"/>
            <w:vAlign w:val="center"/>
          </w:tcPr>
          <w:p w14:paraId="794A4EDA" w14:textId="77777777" w:rsidR="00194AEB" w:rsidRPr="009E426D" w:rsidRDefault="00194AEB" w:rsidP="00D00416">
            <w:pPr>
              <w:widowControl w:val="0"/>
              <w:jc w:val="center"/>
              <w:rPr>
                <w:bCs/>
              </w:rPr>
            </w:pPr>
            <w:r w:rsidRPr="009E426D">
              <w:rPr>
                <w:bCs/>
              </w:rPr>
              <w:t>0,4</w:t>
            </w:r>
          </w:p>
        </w:tc>
        <w:tc>
          <w:tcPr>
            <w:tcW w:w="2127" w:type="dxa"/>
            <w:shd w:val="clear" w:color="auto" w:fill="auto"/>
            <w:vAlign w:val="center"/>
          </w:tcPr>
          <w:p w14:paraId="32BFFD0E" w14:textId="77777777" w:rsidR="00194AEB" w:rsidRPr="009E426D" w:rsidRDefault="00194AEB" w:rsidP="00D00416">
            <w:pPr>
              <w:widowControl w:val="0"/>
              <w:jc w:val="center"/>
              <w:rPr>
                <w:bCs/>
                <w:color w:val="FF0000"/>
              </w:rPr>
            </w:pPr>
            <w:r w:rsidRPr="009E426D">
              <w:rPr>
                <w:bCs/>
              </w:rPr>
              <w:t>4,76</w:t>
            </w:r>
          </w:p>
        </w:tc>
      </w:tr>
      <w:tr w:rsidR="00194AEB" w:rsidRPr="005C0389" w14:paraId="3839117B" w14:textId="77777777" w:rsidTr="00D00416">
        <w:trPr>
          <w:trHeight w:val="99"/>
          <w:jc w:val="center"/>
        </w:trPr>
        <w:tc>
          <w:tcPr>
            <w:tcW w:w="3235" w:type="dxa"/>
            <w:shd w:val="clear" w:color="auto" w:fill="B4C6E7" w:themeFill="accent1" w:themeFillTint="66"/>
            <w:vAlign w:val="center"/>
          </w:tcPr>
          <w:p w14:paraId="7CC6D62B" w14:textId="77777777" w:rsidR="00194AEB" w:rsidRPr="009E426D" w:rsidRDefault="00194AEB" w:rsidP="00D00416">
            <w:pPr>
              <w:widowControl w:val="0"/>
              <w:jc w:val="right"/>
              <w:rPr>
                <w:bCs/>
              </w:rPr>
            </w:pPr>
            <w:r w:rsidRPr="009E426D">
              <w:rPr>
                <w:bCs/>
              </w:rPr>
              <w:t>Průmyslové lokality</w:t>
            </w:r>
          </w:p>
        </w:tc>
        <w:tc>
          <w:tcPr>
            <w:tcW w:w="844" w:type="dxa"/>
            <w:shd w:val="clear" w:color="auto" w:fill="auto"/>
            <w:vAlign w:val="center"/>
          </w:tcPr>
          <w:p w14:paraId="731330B8" w14:textId="77777777" w:rsidR="00194AEB" w:rsidRPr="009E426D" w:rsidRDefault="00194AEB" w:rsidP="00D00416">
            <w:pPr>
              <w:widowControl w:val="0"/>
              <w:jc w:val="center"/>
              <w:rPr>
                <w:bCs/>
              </w:rPr>
            </w:pPr>
            <w:r w:rsidRPr="009E426D">
              <w:rPr>
                <w:bCs/>
              </w:rPr>
              <w:t>17,7</w:t>
            </w:r>
          </w:p>
        </w:tc>
        <w:tc>
          <w:tcPr>
            <w:tcW w:w="835" w:type="dxa"/>
            <w:shd w:val="clear" w:color="auto" w:fill="auto"/>
            <w:vAlign w:val="center"/>
          </w:tcPr>
          <w:p w14:paraId="424101D9" w14:textId="77777777" w:rsidR="00194AEB" w:rsidRPr="009E426D" w:rsidRDefault="00194AEB" w:rsidP="00D00416">
            <w:pPr>
              <w:widowControl w:val="0"/>
              <w:jc w:val="center"/>
              <w:rPr>
                <w:bCs/>
              </w:rPr>
            </w:pPr>
            <w:r w:rsidRPr="009E426D">
              <w:rPr>
                <w:bCs/>
              </w:rPr>
              <w:t>31,3</w:t>
            </w:r>
          </w:p>
        </w:tc>
        <w:tc>
          <w:tcPr>
            <w:tcW w:w="1782" w:type="dxa"/>
            <w:shd w:val="clear" w:color="auto" w:fill="auto"/>
            <w:vAlign w:val="center"/>
          </w:tcPr>
          <w:p w14:paraId="52F0B72D" w14:textId="77777777" w:rsidR="00194AEB" w:rsidRPr="009E426D" w:rsidRDefault="00194AEB" w:rsidP="00D00416">
            <w:pPr>
              <w:widowControl w:val="0"/>
              <w:jc w:val="center"/>
              <w:rPr>
                <w:bCs/>
                <w:color w:val="FF0000"/>
              </w:rPr>
            </w:pPr>
            <w:r w:rsidRPr="009E426D">
              <w:rPr>
                <w:bCs/>
              </w:rPr>
              <w:t>1,11</w:t>
            </w:r>
          </w:p>
        </w:tc>
        <w:tc>
          <w:tcPr>
            <w:tcW w:w="2127" w:type="dxa"/>
            <w:shd w:val="clear" w:color="auto" w:fill="auto"/>
            <w:vAlign w:val="center"/>
          </w:tcPr>
          <w:p w14:paraId="77B00EEA" w14:textId="77777777" w:rsidR="00194AEB" w:rsidRPr="009E426D" w:rsidRDefault="00194AEB" w:rsidP="00D00416">
            <w:pPr>
              <w:widowControl w:val="0"/>
              <w:jc w:val="center"/>
              <w:rPr>
                <w:bCs/>
                <w:color w:val="FF0000"/>
              </w:rPr>
            </w:pPr>
            <w:r w:rsidRPr="009E426D">
              <w:rPr>
                <w:bCs/>
              </w:rPr>
              <w:t>6,68</w:t>
            </w:r>
          </w:p>
        </w:tc>
      </w:tr>
    </w:tbl>
    <w:p w14:paraId="02D02CA0" w14:textId="2BA74313" w:rsidR="00194AEB" w:rsidRPr="009E426D" w:rsidRDefault="00552610" w:rsidP="00194AEB">
      <w:pPr>
        <w:spacing w:before="120" w:line="276" w:lineRule="auto"/>
        <w:ind w:left="357"/>
        <w:jc w:val="both"/>
        <w:rPr>
          <w:sz w:val="22"/>
          <w:szCs w:val="22"/>
        </w:rPr>
      </w:pPr>
      <w:r w:rsidRPr="00194AEB">
        <w:rPr>
          <w:noProof/>
          <w:color w:val="auto"/>
          <w:sz w:val="22"/>
          <w:szCs w:val="22"/>
          <w:lang w:eastAsia="cs-CZ"/>
        </w:rPr>
        <w:drawing>
          <wp:anchor distT="0" distB="0" distL="114300" distR="114300" simplePos="0" relativeHeight="251682816" behindDoc="0" locked="0" layoutInCell="1" allowOverlap="0" wp14:anchorId="3BBE667D" wp14:editId="7A0F6784">
            <wp:simplePos x="0" y="0"/>
            <wp:positionH relativeFrom="column">
              <wp:posOffset>295275</wp:posOffset>
            </wp:positionH>
            <wp:positionV relativeFrom="page">
              <wp:posOffset>6425565</wp:posOffset>
            </wp:positionV>
            <wp:extent cx="5580000" cy="2080800"/>
            <wp:effectExtent l="0" t="0" r="1905" b="0"/>
            <wp:wrapTopAndBottom/>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0000" cy="2080800"/>
                    </a:xfrm>
                    <a:prstGeom prst="rect">
                      <a:avLst/>
                    </a:prstGeom>
                    <a:noFill/>
                  </pic:spPr>
                </pic:pic>
              </a:graphicData>
            </a:graphic>
            <wp14:sizeRelH relativeFrom="margin">
              <wp14:pctWidth>0</wp14:pctWidth>
            </wp14:sizeRelH>
            <wp14:sizeRelV relativeFrom="margin">
              <wp14:pctHeight>0</wp14:pctHeight>
            </wp14:sizeRelV>
          </wp:anchor>
        </w:drawing>
      </w:r>
      <w:r w:rsidR="00830024" w:rsidRPr="00194AEB">
        <w:rPr>
          <w:color w:val="auto"/>
          <w:sz w:val="22"/>
          <w:szCs w:val="22"/>
        </w:rPr>
        <w:t xml:space="preserve"> </w:t>
      </w:r>
      <w:r w:rsidR="00194AEB" w:rsidRPr="00194AEB">
        <w:rPr>
          <w:color w:val="auto"/>
          <w:sz w:val="22"/>
          <w:szCs w:val="22"/>
        </w:rPr>
        <w:t xml:space="preserve">V tabulce č. </w:t>
      </w:r>
      <w:r w:rsidR="0081428E">
        <w:rPr>
          <w:color w:val="auto"/>
          <w:sz w:val="22"/>
          <w:szCs w:val="22"/>
        </w:rPr>
        <w:t>5</w:t>
      </w:r>
      <w:r w:rsidR="00194AEB" w:rsidRPr="00194AEB">
        <w:rPr>
          <w:color w:val="auto"/>
          <w:sz w:val="22"/>
          <w:szCs w:val="22"/>
        </w:rPr>
        <w:t>. je uveden přehled rozmezí ročních koncentrací PM</w:t>
      </w:r>
      <w:r w:rsidR="00194AEB" w:rsidRPr="00194AEB">
        <w:rPr>
          <w:color w:val="auto"/>
          <w:sz w:val="22"/>
          <w:szCs w:val="22"/>
          <w:vertAlign w:val="subscript"/>
        </w:rPr>
        <w:t xml:space="preserve">10 </w:t>
      </w:r>
      <w:r w:rsidR="00194AEB" w:rsidRPr="00194AEB">
        <w:rPr>
          <w:color w:val="auto"/>
          <w:sz w:val="22"/>
          <w:szCs w:val="22"/>
        </w:rPr>
        <w:t xml:space="preserve">a odhadu zvýšení celkové </w:t>
      </w:r>
      <w:r w:rsidR="00194AEB" w:rsidRPr="009E426D">
        <w:rPr>
          <w:sz w:val="22"/>
          <w:szCs w:val="22"/>
        </w:rPr>
        <w:t xml:space="preserve">úmrtnosti. Za základ </w:t>
      </w:r>
      <w:r w:rsidR="0081428E">
        <w:rPr>
          <w:sz w:val="22"/>
          <w:szCs w:val="22"/>
        </w:rPr>
        <w:t xml:space="preserve">do </w:t>
      </w:r>
      <w:r w:rsidR="00194AEB">
        <w:rPr>
          <w:sz w:val="22"/>
          <w:szCs w:val="22"/>
        </w:rPr>
        <w:t xml:space="preserve">výpočtu byla aplikována </w:t>
      </w:r>
      <w:r w:rsidR="00194AEB" w:rsidRPr="009E426D">
        <w:rPr>
          <w:sz w:val="22"/>
          <w:szCs w:val="22"/>
        </w:rPr>
        <w:t>koncentrace PM</w:t>
      </w:r>
      <w:r w:rsidR="00194AEB" w:rsidRPr="009E426D">
        <w:rPr>
          <w:sz w:val="22"/>
          <w:szCs w:val="22"/>
          <w:vertAlign w:val="subscript"/>
        </w:rPr>
        <w:t>10</w:t>
      </w:r>
      <w:r w:rsidR="00194AEB" w:rsidRPr="009E426D">
        <w:rPr>
          <w:sz w:val="22"/>
          <w:szCs w:val="22"/>
        </w:rPr>
        <w:t xml:space="preserve"> 15 µg/m</w:t>
      </w:r>
      <w:r w:rsidR="00194AEB" w:rsidRPr="009E426D">
        <w:rPr>
          <w:sz w:val="22"/>
          <w:szCs w:val="22"/>
          <w:vertAlign w:val="superscript"/>
        </w:rPr>
        <w:t>3</w:t>
      </w:r>
      <w:r w:rsidR="00194AEB" w:rsidRPr="009E426D">
        <w:rPr>
          <w:sz w:val="22"/>
          <w:szCs w:val="22"/>
        </w:rPr>
        <w:t xml:space="preserve"> při které by se s 95% pravděpodobností úmrtnost neměla zvyšovat. Rozpětí koncentrací charakterizující míru znečištění suspendovanými částicemi frakce PM</w:t>
      </w:r>
      <w:r w:rsidR="00194AEB" w:rsidRPr="009E426D">
        <w:rPr>
          <w:sz w:val="22"/>
          <w:szCs w:val="22"/>
          <w:vertAlign w:val="subscript"/>
        </w:rPr>
        <w:t>10</w:t>
      </w:r>
      <w:r w:rsidR="00194AEB" w:rsidRPr="009E426D">
        <w:rPr>
          <w:sz w:val="22"/>
          <w:szCs w:val="22"/>
        </w:rPr>
        <w:t xml:space="preserve"> v různých typech městských lokalit popisuje graf č. 2.</w:t>
      </w:r>
    </w:p>
    <w:p w14:paraId="4F70D43F" w14:textId="7E39A18F" w:rsidR="006C6727" w:rsidRPr="009E426D" w:rsidRDefault="006C6727" w:rsidP="006C6727">
      <w:pPr>
        <w:spacing w:before="120"/>
        <w:ind w:left="360"/>
        <w:jc w:val="both"/>
        <w:rPr>
          <w:sz w:val="22"/>
          <w:szCs w:val="22"/>
        </w:rPr>
      </w:pPr>
      <w:r w:rsidRPr="009E426D">
        <w:rPr>
          <w:sz w:val="22"/>
          <w:szCs w:val="22"/>
        </w:rPr>
        <w:t>Graf č. 2 Rozpětí ročních průměrů PM</w:t>
      </w:r>
      <w:r w:rsidRPr="009E426D">
        <w:rPr>
          <w:sz w:val="22"/>
          <w:szCs w:val="22"/>
          <w:vertAlign w:val="subscript"/>
        </w:rPr>
        <w:t>10</w:t>
      </w:r>
      <w:r w:rsidRPr="009E426D">
        <w:rPr>
          <w:sz w:val="22"/>
          <w:szCs w:val="22"/>
        </w:rPr>
        <w:t xml:space="preserve"> v roce 2022 v ČR a v typech městských lokalit </w:t>
      </w:r>
    </w:p>
    <w:p w14:paraId="368B5206" w14:textId="64B5BC8F" w:rsidR="006C6727" w:rsidRPr="009E426D" w:rsidRDefault="006C6727" w:rsidP="006C6727">
      <w:pPr>
        <w:widowControl w:val="0"/>
        <w:ind w:left="360"/>
        <w:jc w:val="both"/>
        <w:rPr>
          <w:i/>
        </w:rPr>
      </w:pPr>
      <w:proofErr w:type="spellStart"/>
      <w:r w:rsidRPr="009E426D">
        <w:rPr>
          <w:i/>
        </w:rPr>
        <w:t>Pozn</w:t>
      </w:r>
      <w:proofErr w:type="spellEnd"/>
      <w:r w:rsidRPr="009E426D">
        <w:rPr>
          <w:i/>
        </w:rPr>
        <w:t>: Maximální roční průměr frakce PM</w:t>
      </w:r>
      <w:r w:rsidRPr="009E426D">
        <w:rPr>
          <w:i/>
          <w:vertAlign w:val="subscript"/>
        </w:rPr>
        <w:t>10</w:t>
      </w:r>
      <w:r w:rsidRPr="009E426D">
        <w:rPr>
          <w:i/>
        </w:rPr>
        <w:t xml:space="preserve"> byl naměřen na stanici TORE (Radvanice) – 31,3 µg/m</w:t>
      </w:r>
      <w:r w:rsidRPr="009E426D">
        <w:rPr>
          <w:i/>
          <w:vertAlign w:val="superscript"/>
        </w:rPr>
        <w:t>3</w:t>
      </w:r>
      <w:r w:rsidRPr="009E426D">
        <w:rPr>
          <w:i/>
        </w:rPr>
        <w:t>/rok.</w:t>
      </w:r>
    </w:p>
    <w:p w14:paraId="2BBD6764" w14:textId="77777777" w:rsidR="00552610" w:rsidRDefault="00552610" w:rsidP="00194AEB">
      <w:pPr>
        <w:pStyle w:val="DefaultText1"/>
        <w:widowControl w:val="0"/>
        <w:spacing w:line="276" w:lineRule="auto"/>
        <w:ind w:left="360"/>
        <w:jc w:val="both"/>
        <w:rPr>
          <w:rFonts w:ascii="Mulish" w:hAnsi="Mulish"/>
          <w:color w:val="000000" w:themeColor="text1"/>
          <w:sz w:val="22"/>
          <w:szCs w:val="22"/>
        </w:rPr>
      </w:pPr>
    </w:p>
    <w:p w14:paraId="58B94C8E" w14:textId="5658E7B1" w:rsidR="00830024" w:rsidRPr="009E426D" w:rsidRDefault="00830024" w:rsidP="00194AEB">
      <w:pPr>
        <w:pStyle w:val="DefaultText1"/>
        <w:widowControl w:val="0"/>
        <w:spacing w:line="276" w:lineRule="auto"/>
        <w:ind w:left="360"/>
        <w:jc w:val="both"/>
        <w:rPr>
          <w:rFonts w:ascii="Mulish" w:hAnsi="Mulish"/>
          <w:color w:val="000000" w:themeColor="text1"/>
          <w:sz w:val="22"/>
          <w:szCs w:val="22"/>
        </w:rPr>
      </w:pPr>
      <w:r w:rsidRPr="009E426D">
        <w:rPr>
          <w:rFonts w:ascii="Mulish" w:hAnsi="Mulish"/>
          <w:color w:val="000000" w:themeColor="text1"/>
          <w:sz w:val="22"/>
          <w:szCs w:val="22"/>
        </w:rPr>
        <w:lastRenderedPageBreak/>
        <w:t>Pro roční průměrnou koncentraci PM</w:t>
      </w:r>
      <w:r w:rsidRPr="00194AEB">
        <w:rPr>
          <w:rFonts w:ascii="Mulish" w:hAnsi="Mulish"/>
          <w:color w:val="000000" w:themeColor="text1"/>
          <w:sz w:val="22"/>
          <w:szCs w:val="22"/>
          <w:vertAlign w:val="subscript"/>
        </w:rPr>
        <w:t>10</w:t>
      </w:r>
      <w:r w:rsidRPr="009E426D">
        <w:rPr>
          <w:rFonts w:ascii="Mulish" w:hAnsi="Mulish"/>
          <w:color w:val="000000" w:themeColor="text1"/>
          <w:sz w:val="22"/>
          <w:szCs w:val="22"/>
        </w:rPr>
        <w:t xml:space="preserve"> je v Globálních pokynech WHO (2021) pro kvalitu ovzduší v Evropě uvedena doporučená </w:t>
      </w:r>
      <w:r w:rsidRPr="00194AEB">
        <w:rPr>
          <w:rFonts w:ascii="Mulish" w:hAnsi="Mulish"/>
          <w:color w:val="000000" w:themeColor="text1"/>
          <w:sz w:val="22"/>
          <w:szCs w:val="22"/>
        </w:rPr>
        <w:t>roční</w:t>
      </w:r>
      <w:r w:rsidRPr="009E426D">
        <w:rPr>
          <w:rFonts w:ascii="Mulish" w:hAnsi="Mulish"/>
          <w:color w:val="000000" w:themeColor="text1"/>
          <w:sz w:val="22"/>
          <w:szCs w:val="22"/>
        </w:rPr>
        <w:t xml:space="preserve"> cílová hodnota AQG 15 µg/m</w:t>
      </w:r>
      <w:r w:rsidRPr="00194AEB">
        <w:rPr>
          <w:rFonts w:ascii="Mulish" w:hAnsi="Mulish"/>
          <w:color w:val="000000" w:themeColor="text1"/>
          <w:sz w:val="22"/>
          <w:szCs w:val="22"/>
          <w:vertAlign w:val="superscript"/>
        </w:rPr>
        <w:t>3</w:t>
      </w:r>
      <w:r w:rsidRPr="009E426D">
        <w:rPr>
          <w:rFonts w:ascii="Mulish" w:hAnsi="Mulish"/>
          <w:color w:val="000000" w:themeColor="text1"/>
          <w:sz w:val="22"/>
          <w:szCs w:val="22"/>
        </w:rPr>
        <w:t xml:space="preserve">. Jako </w:t>
      </w:r>
      <w:r w:rsidRPr="00194AEB">
        <w:rPr>
          <w:rFonts w:ascii="Mulish" w:hAnsi="Mulish"/>
          <w:color w:val="000000" w:themeColor="text1"/>
          <w:sz w:val="22"/>
          <w:szCs w:val="22"/>
        </w:rPr>
        <w:t>24hodinová</w:t>
      </w:r>
      <w:r w:rsidRPr="009E426D">
        <w:rPr>
          <w:rFonts w:ascii="Mulish" w:hAnsi="Mulish"/>
          <w:color w:val="000000" w:themeColor="text1"/>
          <w:sz w:val="22"/>
          <w:szCs w:val="22"/>
        </w:rPr>
        <w:t xml:space="preserve"> cílová doporučená hodnota je v Globálních pokynech WHO uvedeno 45 µg/m</w:t>
      </w:r>
      <w:r w:rsidRPr="009E426D">
        <w:rPr>
          <w:rFonts w:ascii="Mulish" w:hAnsi="Mulish"/>
          <w:color w:val="000000" w:themeColor="text1"/>
          <w:sz w:val="22"/>
          <w:szCs w:val="22"/>
          <w:vertAlign w:val="superscript"/>
        </w:rPr>
        <w:t>3</w:t>
      </w:r>
      <w:r w:rsidRPr="009E426D">
        <w:rPr>
          <w:rFonts w:ascii="Mulish" w:hAnsi="Mulish"/>
          <w:color w:val="000000" w:themeColor="text1"/>
          <w:sz w:val="22"/>
          <w:szCs w:val="22"/>
        </w:rPr>
        <w:t xml:space="preserve"> pro frakci PM</w:t>
      </w:r>
      <w:r w:rsidRPr="009E426D">
        <w:rPr>
          <w:rFonts w:ascii="Mulish" w:hAnsi="Mulish"/>
          <w:color w:val="000000" w:themeColor="text1"/>
          <w:sz w:val="22"/>
          <w:szCs w:val="22"/>
          <w:vertAlign w:val="subscript"/>
        </w:rPr>
        <w:t>10</w:t>
      </w:r>
      <w:r w:rsidRPr="009E426D">
        <w:rPr>
          <w:rFonts w:ascii="Mulish" w:hAnsi="Mulish"/>
          <w:color w:val="000000" w:themeColor="text1"/>
          <w:sz w:val="22"/>
          <w:szCs w:val="22"/>
        </w:rPr>
        <w:t>. Pak:</w:t>
      </w:r>
    </w:p>
    <w:p w14:paraId="57BAD04E" w14:textId="480B6462" w:rsidR="00830024" w:rsidRPr="009E426D" w:rsidRDefault="00830024" w:rsidP="00194AEB">
      <w:pPr>
        <w:pStyle w:val="DefaultText1"/>
        <w:widowControl w:val="0"/>
        <w:numPr>
          <w:ilvl w:val="0"/>
          <w:numId w:val="31"/>
        </w:numPr>
        <w:spacing w:line="276" w:lineRule="auto"/>
        <w:ind w:left="720"/>
        <w:jc w:val="both"/>
        <w:rPr>
          <w:rFonts w:ascii="Mulish" w:hAnsi="Mulish"/>
          <w:color w:val="000000" w:themeColor="text1"/>
          <w:sz w:val="22"/>
          <w:szCs w:val="22"/>
        </w:rPr>
      </w:pPr>
      <w:r w:rsidRPr="009E426D">
        <w:rPr>
          <w:rFonts w:ascii="Mulish" w:hAnsi="Mulish"/>
          <w:color w:val="000000" w:themeColor="text1"/>
          <w:sz w:val="22"/>
          <w:szCs w:val="22"/>
        </w:rPr>
        <w:t>U frakce PM</w:t>
      </w:r>
      <w:r w:rsidRPr="009E426D">
        <w:rPr>
          <w:rFonts w:ascii="Mulish" w:hAnsi="Mulish"/>
          <w:color w:val="000000" w:themeColor="text1"/>
          <w:sz w:val="22"/>
          <w:szCs w:val="22"/>
          <w:vertAlign w:val="subscript"/>
        </w:rPr>
        <w:t>10</w:t>
      </w:r>
      <w:r w:rsidRPr="009E426D">
        <w:rPr>
          <w:rFonts w:ascii="Mulish" w:hAnsi="Mulish"/>
          <w:color w:val="000000" w:themeColor="text1"/>
          <w:sz w:val="22"/>
          <w:szCs w:val="22"/>
        </w:rPr>
        <w:t xml:space="preserve"> - roční cílová hodnota AQG WHO – 15 µg/m</w:t>
      </w:r>
      <w:r w:rsidRPr="009E426D">
        <w:rPr>
          <w:rFonts w:ascii="Mulish" w:hAnsi="Mulish"/>
          <w:color w:val="000000" w:themeColor="text1"/>
          <w:sz w:val="22"/>
          <w:szCs w:val="22"/>
          <w:vertAlign w:val="superscript"/>
        </w:rPr>
        <w:t>3</w:t>
      </w:r>
      <w:r w:rsidRPr="009E426D">
        <w:rPr>
          <w:rFonts w:ascii="Mulish" w:hAnsi="Mulish"/>
          <w:color w:val="000000" w:themeColor="text1"/>
          <w:sz w:val="22"/>
          <w:szCs w:val="22"/>
        </w:rPr>
        <w:t xml:space="preserve"> byla v roce 2022 překročena na 94 městských stanicích (</w:t>
      </w:r>
      <w:r w:rsidRPr="009E426D">
        <w:rPr>
          <w:rFonts w:ascii="Mulish" w:hAnsi="Mulish"/>
          <w:snapToGrid w:val="0"/>
          <w:color w:val="000000" w:themeColor="text1"/>
          <w:sz w:val="22"/>
          <w:szCs w:val="22"/>
        </w:rPr>
        <w:sym w:font="Symbol" w:char="F0BB"/>
      </w:r>
      <w:r w:rsidRPr="009E426D">
        <w:rPr>
          <w:rFonts w:ascii="Mulish" w:hAnsi="Mulish"/>
          <w:color w:val="000000" w:themeColor="text1"/>
          <w:sz w:val="22"/>
          <w:szCs w:val="22"/>
        </w:rPr>
        <w:t xml:space="preserve"> 76 %). </w:t>
      </w:r>
    </w:p>
    <w:p w14:paraId="34D62FAE" w14:textId="625918ED" w:rsidR="00830024" w:rsidRDefault="00830024" w:rsidP="00552610">
      <w:pPr>
        <w:pStyle w:val="DefaultText1"/>
        <w:widowControl w:val="0"/>
        <w:spacing w:line="276" w:lineRule="auto"/>
        <w:ind w:left="720"/>
        <w:jc w:val="both"/>
        <w:rPr>
          <w:rFonts w:ascii="Mulish" w:hAnsi="Mulish"/>
          <w:color w:val="000000" w:themeColor="text1"/>
          <w:sz w:val="22"/>
          <w:szCs w:val="22"/>
        </w:rPr>
      </w:pPr>
      <w:r w:rsidRPr="009E426D">
        <w:rPr>
          <w:rFonts w:ascii="Mulish" w:hAnsi="Mulish"/>
          <w:color w:val="000000" w:themeColor="text1"/>
          <w:sz w:val="22"/>
          <w:szCs w:val="22"/>
        </w:rPr>
        <w:t>Na 17 kontinuálně měřicích stanicích (</w:t>
      </w:r>
      <w:r w:rsidRPr="009E426D">
        <w:rPr>
          <w:rFonts w:ascii="Mulish" w:hAnsi="Mulish"/>
          <w:snapToGrid w:val="0"/>
          <w:color w:val="000000" w:themeColor="text1"/>
          <w:sz w:val="22"/>
          <w:szCs w:val="22"/>
        </w:rPr>
        <w:sym w:font="Symbol" w:char="F0BB"/>
      </w:r>
      <w:r w:rsidRPr="009E426D">
        <w:rPr>
          <w:rFonts w:ascii="Mulish" w:hAnsi="Mulish"/>
          <w:color w:val="000000" w:themeColor="text1"/>
          <w:sz w:val="22"/>
          <w:szCs w:val="22"/>
        </w:rPr>
        <w:t xml:space="preserve"> 14 %), včetně pozaďových, nebyla v roce 2022 překročena hodnota doporučení WHO (45 µg/m</w:t>
      </w:r>
      <w:r w:rsidRPr="009E426D">
        <w:rPr>
          <w:rFonts w:ascii="Mulish" w:hAnsi="Mulish"/>
          <w:color w:val="000000" w:themeColor="text1"/>
          <w:sz w:val="22"/>
          <w:szCs w:val="22"/>
          <w:vertAlign w:val="superscript"/>
        </w:rPr>
        <w:t>3</w:t>
      </w:r>
      <w:r w:rsidRPr="009E426D">
        <w:rPr>
          <w:rFonts w:ascii="Mulish" w:hAnsi="Mulish"/>
          <w:color w:val="000000" w:themeColor="text1"/>
          <w:sz w:val="22"/>
          <w:szCs w:val="22"/>
        </w:rPr>
        <w:t xml:space="preserve">/24hodin). Nejvíce (&gt; 50) překročení doporučené 24 hodinové hodnoty WHO bylo v roce 2022 naměřeno na stanicích v Moravskoslezském kraji - v Rychvaldu - okr. Karviná (TRYC) – 45 překročení, Ostravě českobratrské (TOCB) – 47, </w:t>
      </w:r>
      <w:proofErr w:type="spellStart"/>
      <w:r w:rsidRPr="009E426D">
        <w:rPr>
          <w:rFonts w:ascii="Mulish" w:hAnsi="Mulish"/>
          <w:color w:val="000000" w:themeColor="text1"/>
          <w:sz w:val="22"/>
          <w:szCs w:val="22"/>
        </w:rPr>
        <w:t>Věřnovicích</w:t>
      </w:r>
      <w:proofErr w:type="spellEnd"/>
      <w:r w:rsidRPr="009E426D">
        <w:rPr>
          <w:rFonts w:ascii="Mulish" w:hAnsi="Mulish"/>
          <w:color w:val="000000" w:themeColor="text1"/>
          <w:sz w:val="22"/>
          <w:szCs w:val="22"/>
        </w:rPr>
        <w:t xml:space="preserve"> (TVER) – 54 a v Ostravě-Radvanicích (TORE) – 65. </w:t>
      </w:r>
    </w:p>
    <w:p w14:paraId="74038B78" w14:textId="4AC5022C" w:rsidR="00552610" w:rsidRPr="00552610" w:rsidRDefault="00552610" w:rsidP="00552610">
      <w:pPr>
        <w:spacing w:before="120" w:line="276" w:lineRule="auto"/>
        <w:ind w:left="708"/>
        <w:jc w:val="both"/>
        <w:rPr>
          <w:b/>
          <w:color w:val="auto"/>
          <w:sz w:val="22"/>
          <w:szCs w:val="22"/>
        </w:rPr>
      </w:pPr>
      <w:r w:rsidRPr="00552610">
        <w:rPr>
          <w:b/>
          <w:color w:val="auto"/>
          <w:sz w:val="22"/>
          <w:szCs w:val="22"/>
        </w:rPr>
        <w:t>Odhad navýšení celkové předčasné úmrtnosti, ke kterému přispěla expozice suspendovaným částicím frakce PM</w:t>
      </w:r>
      <w:r w:rsidRPr="00552610">
        <w:rPr>
          <w:b/>
          <w:color w:val="auto"/>
          <w:sz w:val="22"/>
          <w:szCs w:val="22"/>
          <w:vertAlign w:val="subscript"/>
        </w:rPr>
        <w:t>10</w:t>
      </w:r>
      <w:r w:rsidRPr="00552610">
        <w:rPr>
          <w:b/>
          <w:color w:val="auto"/>
          <w:sz w:val="22"/>
          <w:szCs w:val="22"/>
        </w:rPr>
        <w:t xml:space="preserve">, se podle míry zátěže konkrétní lokality pohybuje od 0 % v čistých městských lokalitách po až </w:t>
      </w:r>
      <w:r w:rsidRPr="00552610">
        <w:rPr>
          <w:b/>
          <w:color w:val="auto"/>
          <w:sz w:val="22"/>
          <w:szCs w:val="22"/>
        </w:rPr>
        <w:sym w:font="Symbol" w:char="F0BB"/>
      </w:r>
      <w:r w:rsidRPr="00552610">
        <w:rPr>
          <w:b/>
          <w:color w:val="auto"/>
          <w:sz w:val="22"/>
          <w:szCs w:val="22"/>
        </w:rPr>
        <w:t xml:space="preserve"> 6,7 % v oblastech zvláště intenzivně zatížených dopravou a průmyslem. Na základě odhadu průměrné koncentrace suspendovaných částic frakce PM</w:t>
      </w:r>
      <w:r w:rsidRPr="00552610">
        <w:rPr>
          <w:b/>
          <w:color w:val="auto"/>
          <w:sz w:val="22"/>
          <w:szCs w:val="22"/>
          <w:vertAlign w:val="subscript"/>
        </w:rPr>
        <w:t>10</w:t>
      </w:r>
      <w:r w:rsidRPr="00552610">
        <w:rPr>
          <w:b/>
          <w:color w:val="auto"/>
          <w:sz w:val="22"/>
          <w:szCs w:val="22"/>
        </w:rPr>
        <w:t xml:space="preserve"> v roce 202</w:t>
      </w:r>
      <w:r w:rsidR="00471D7C">
        <w:rPr>
          <w:b/>
          <w:color w:val="auto"/>
          <w:sz w:val="22"/>
          <w:szCs w:val="22"/>
        </w:rPr>
        <w:t>2</w:t>
      </w:r>
      <w:r w:rsidRPr="00552610">
        <w:rPr>
          <w:b/>
          <w:color w:val="auto"/>
          <w:sz w:val="22"/>
          <w:szCs w:val="22"/>
        </w:rPr>
        <w:t xml:space="preserve"> v městském extenzivně nezatíženém prostředí mimo MSK (17,7 µg/m</w:t>
      </w:r>
      <w:r w:rsidRPr="00552610">
        <w:rPr>
          <w:b/>
          <w:color w:val="auto"/>
          <w:sz w:val="22"/>
          <w:szCs w:val="22"/>
          <w:vertAlign w:val="superscript"/>
        </w:rPr>
        <w:t>3</w:t>
      </w:r>
      <w:r w:rsidRPr="00552610">
        <w:rPr>
          <w:b/>
          <w:color w:val="auto"/>
          <w:sz w:val="22"/>
          <w:szCs w:val="22"/>
        </w:rPr>
        <w:t xml:space="preserve">), lze zhruba odhadnout, že v důsledku znečištění ovzduší touto škodlivinou byla celková úmrtnost navýšena o přibližně 1,1 %. Odhad populačního rizika pro rok 2022 ale nelze pro </w:t>
      </w:r>
      <w:r w:rsidR="00471D7C">
        <w:rPr>
          <w:b/>
          <w:color w:val="auto"/>
          <w:sz w:val="22"/>
          <w:szCs w:val="22"/>
        </w:rPr>
        <w:t>přetrvávající</w:t>
      </w:r>
      <w:r w:rsidRPr="00552610">
        <w:rPr>
          <w:b/>
          <w:color w:val="auto"/>
          <w:sz w:val="22"/>
          <w:szCs w:val="22"/>
        </w:rPr>
        <w:t xml:space="preserve"> ovlivnění demografických dat epidemií Covid-19 provést.</w:t>
      </w:r>
    </w:p>
    <w:p w14:paraId="470A7E18" w14:textId="18774D34" w:rsidR="00552610" w:rsidRPr="001507B2" w:rsidRDefault="00552610" w:rsidP="00552610">
      <w:pPr>
        <w:spacing w:before="120" w:line="276" w:lineRule="auto"/>
        <w:jc w:val="both"/>
        <w:rPr>
          <w:color w:val="auto"/>
          <w:sz w:val="22"/>
          <w:szCs w:val="22"/>
          <w:u w:val="single"/>
        </w:rPr>
      </w:pPr>
      <w:r w:rsidRPr="00BF6B8D">
        <w:rPr>
          <w:color w:val="auto"/>
          <w:sz w:val="22"/>
          <w:szCs w:val="22"/>
        </w:rPr>
        <w:t>Doplněním výše uvedeného</w:t>
      </w:r>
      <w:r>
        <w:rPr>
          <w:color w:val="auto"/>
          <w:sz w:val="22"/>
          <w:szCs w:val="22"/>
        </w:rPr>
        <w:t xml:space="preserve"> bývá často </w:t>
      </w:r>
      <w:r w:rsidRPr="00BF6B8D">
        <w:rPr>
          <w:color w:val="auto"/>
          <w:sz w:val="22"/>
          <w:szCs w:val="22"/>
        </w:rPr>
        <w:t xml:space="preserve">odhad počtu ztracených let života (tzv. </w:t>
      </w:r>
      <w:proofErr w:type="spellStart"/>
      <w:r w:rsidRPr="00BF6B8D">
        <w:rPr>
          <w:color w:val="auto"/>
          <w:sz w:val="22"/>
          <w:szCs w:val="22"/>
        </w:rPr>
        <w:t>YOLLs</w:t>
      </w:r>
      <w:proofErr w:type="spellEnd"/>
      <w:r w:rsidRPr="00BF6B8D">
        <w:rPr>
          <w:color w:val="auto"/>
          <w:sz w:val="22"/>
          <w:szCs w:val="22"/>
        </w:rPr>
        <w:t xml:space="preserve">, </w:t>
      </w:r>
      <w:proofErr w:type="spellStart"/>
      <w:r w:rsidRPr="00BF6B8D">
        <w:rPr>
          <w:color w:val="auto"/>
          <w:sz w:val="22"/>
          <w:szCs w:val="22"/>
        </w:rPr>
        <w:t>Years</w:t>
      </w:r>
      <w:proofErr w:type="spellEnd"/>
      <w:r w:rsidRPr="00BF6B8D">
        <w:rPr>
          <w:color w:val="auto"/>
          <w:sz w:val="22"/>
          <w:szCs w:val="22"/>
        </w:rPr>
        <w:t xml:space="preserve"> </w:t>
      </w:r>
      <w:proofErr w:type="spellStart"/>
      <w:r w:rsidRPr="00BF6B8D">
        <w:rPr>
          <w:color w:val="auto"/>
          <w:sz w:val="22"/>
          <w:szCs w:val="22"/>
        </w:rPr>
        <w:t>of</w:t>
      </w:r>
      <w:proofErr w:type="spellEnd"/>
      <w:r w:rsidRPr="00BF6B8D">
        <w:rPr>
          <w:color w:val="auto"/>
          <w:sz w:val="22"/>
          <w:szCs w:val="22"/>
        </w:rPr>
        <w:t xml:space="preserve"> </w:t>
      </w:r>
      <w:proofErr w:type="spellStart"/>
      <w:r w:rsidRPr="00BF6B8D">
        <w:rPr>
          <w:color w:val="auto"/>
          <w:sz w:val="22"/>
          <w:szCs w:val="22"/>
        </w:rPr>
        <w:t>Life</w:t>
      </w:r>
      <w:proofErr w:type="spellEnd"/>
      <w:r w:rsidRPr="00BF6B8D">
        <w:rPr>
          <w:color w:val="auto"/>
          <w:sz w:val="22"/>
          <w:szCs w:val="22"/>
        </w:rPr>
        <w:t xml:space="preserve"> </w:t>
      </w:r>
      <w:proofErr w:type="spellStart"/>
      <w:r w:rsidRPr="00BF6B8D">
        <w:rPr>
          <w:color w:val="auto"/>
          <w:sz w:val="22"/>
          <w:szCs w:val="22"/>
        </w:rPr>
        <w:t>Lost</w:t>
      </w:r>
      <w:proofErr w:type="spellEnd"/>
      <w:r w:rsidRPr="00BF6B8D">
        <w:rPr>
          <w:color w:val="auto"/>
          <w:sz w:val="22"/>
          <w:szCs w:val="22"/>
        </w:rPr>
        <w:t>). Vzhledem k dostupnosti</w:t>
      </w:r>
      <w:r w:rsidRPr="001507B2">
        <w:rPr>
          <w:color w:val="auto"/>
          <w:sz w:val="22"/>
          <w:szCs w:val="22"/>
        </w:rPr>
        <w:t xml:space="preserve"> demografických údajů ho lze vždy provést pouze pro předcházející rok tj. pro rok 2021. Výpočet by vycházel z odhadu střední roční koncentrace PM</w:t>
      </w:r>
      <w:r w:rsidRPr="001507B2">
        <w:rPr>
          <w:color w:val="auto"/>
          <w:sz w:val="22"/>
          <w:szCs w:val="22"/>
          <w:vertAlign w:val="subscript"/>
        </w:rPr>
        <w:t>10</w:t>
      </w:r>
      <w:r w:rsidRPr="001507B2">
        <w:rPr>
          <w:color w:val="auto"/>
          <w:sz w:val="22"/>
          <w:szCs w:val="22"/>
        </w:rPr>
        <w:t xml:space="preserve"> v městských dopravou a průmyslem nezatížených oblastech, který v roce 2021 činil 17,9 µg/m</w:t>
      </w:r>
      <w:r w:rsidRPr="001507B2">
        <w:rPr>
          <w:color w:val="auto"/>
          <w:sz w:val="22"/>
          <w:szCs w:val="22"/>
          <w:vertAlign w:val="superscript"/>
        </w:rPr>
        <w:t>3</w:t>
      </w:r>
      <w:r w:rsidRPr="001507B2">
        <w:rPr>
          <w:color w:val="auto"/>
          <w:sz w:val="22"/>
          <w:szCs w:val="22"/>
        </w:rPr>
        <w:t xml:space="preserve">. </w:t>
      </w:r>
      <w:r w:rsidRPr="001507B2">
        <w:rPr>
          <w:color w:val="auto"/>
          <w:sz w:val="22"/>
          <w:szCs w:val="22"/>
          <w:u w:val="single"/>
        </w:rPr>
        <w:t xml:space="preserve">Odhad pro rok 2021 ale nelze pro významné ovlivnění demografických dat epidemií Covid-19 provést. </w:t>
      </w:r>
    </w:p>
    <w:p w14:paraId="7894302A" w14:textId="6FEFB62A" w:rsidR="00552610" w:rsidRPr="001507B2" w:rsidRDefault="00552610" w:rsidP="00552610">
      <w:pPr>
        <w:ind w:left="709"/>
        <w:jc w:val="both"/>
        <w:rPr>
          <w:color w:val="auto"/>
          <w:sz w:val="22"/>
          <w:szCs w:val="22"/>
        </w:rPr>
      </w:pPr>
      <w:bookmarkStart w:id="8" w:name="_Toc430084076"/>
      <w:r w:rsidRPr="001507B2">
        <w:rPr>
          <w:color w:val="auto"/>
          <w:sz w:val="22"/>
          <w:szCs w:val="22"/>
        </w:rPr>
        <w:t xml:space="preserve">Tabulka č. </w:t>
      </w:r>
      <w:r w:rsidRPr="001507B2">
        <w:rPr>
          <w:color w:val="auto"/>
          <w:sz w:val="22"/>
          <w:szCs w:val="22"/>
        </w:rPr>
        <w:fldChar w:fldCharType="begin"/>
      </w:r>
      <w:r w:rsidRPr="001507B2">
        <w:rPr>
          <w:color w:val="auto"/>
          <w:sz w:val="22"/>
          <w:szCs w:val="22"/>
        </w:rPr>
        <w:instrText xml:space="preserve"> SEQ Tabulka_č._ \* ARABIC </w:instrText>
      </w:r>
      <w:r w:rsidRPr="001507B2">
        <w:rPr>
          <w:color w:val="auto"/>
          <w:sz w:val="22"/>
          <w:szCs w:val="22"/>
        </w:rPr>
        <w:fldChar w:fldCharType="separate"/>
      </w:r>
      <w:r w:rsidR="00D30EF9">
        <w:rPr>
          <w:noProof/>
          <w:color w:val="auto"/>
          <w:sz w:val="22"/>
          <w:szCs w:val="22"/>
        </w:rPr>
        <w:t>6</w:t>
      </w:r>
      <w:r w:rsidRPr="001507B2">
        <w:rPr>
          <w:color w:val="auto"/>
          <w:sz w:val="22"/>
          <w:szCs w:val="22"/>
        </w:rPr>
        <w:fldChar w:fldCharType="end"/>
      </w:r>
      <w:r w:rsidRPr="001507B2">
        <w:rPr>
          <w:color w:val="auto"/>
          <w:sz w:val="22"/>
          <w:szCs w:val="22"/>
        </w:rPr>
        <w:t xml:space="preserve"> – počet roků ztráty života (zaokrouhleno na celá sta)</w:t>
      </w:r>
      <w:bookmarkEnd w:id="8"/>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843"/>
        <w:gridCol w:w="2367"/>
        <w:gridCol w:w="1534"/>
        <w:gridCol w:w="2367"/>
      </w:tblGrid>
      <w:tr w:rsidR="00552610" w:rsidRPr="00D66167" w14:paraId="6AB95BA6" w14:textId="77777777" w:rsidTr="00552610">
        <w:trPr>
          <w:tblHeader/>
          <w:jc w:val="center"/>
        </w:trPr>
        <w:tc>
          <w:tcPr>
            <w:tcW w:w="969" w:type="dxa"/>
            <w:shd w:val="clear" w:color="auto" w:fill="B4C6E7" w:themeFill="accent1" w:themeFillTint="66"/>
            <w:vAlign w:val="center"/>
          </w:tcPr>
          <w:p w14:paraId="6808A61A" w14:textId="77777777" w:rsidR="00552610" w:rsidRPr="005366A5" w:rsidRDefault="00552610" w:rsidP="00D00416">
            <w:pPr>
              <w:jc w:val="center"/>
              <w:rPr>
                <w:color w:val="auto"/>
              </w:rPr>
            </w:pPr>
            <w:r w:rsidRPr="005366A5">
              <w:rPr>
                <w:color w:val="auto"/>
              </w:rPr>
              <w:t>rok</w:t>
            </w:r>
          </w:p>
        </w:tc>
        <w:tc>
          <w:tcPr>
            <w:tcW w:w="843" w:type="dxa"/>
            <w:shd w:val="clear" w:color="auto" w:fill="B4C6E7" w:themeFill="accent1" w:themeFillTint="66"/>
            <w:vAlign w:val="center"/>
          </w:tcPr>
          <w:p w14:paraId="2ED9348C" w14:textId="77777777" w:rsidR="00552610" w:rsidRPr="005366A5" w:rsidRDefault="00552610" w:rsidP="00D00416">
            <w:pPr>
              <w:jc w:val="center"/>
              <w:rPr>
                <w:color w:val="auto"/>
              </w:rPr>
            </w:pPr>
            <w:r w:rsidRPr="005366A5">
              <w:rPr>
                <w:color w:val="auto"/>
              </w:rPr>
              <w:t>rozsah</w:t>
            </w:r>
          </w:p>
        </w:tc>
        <w:tc>
          <w:tcPr>
            <w:tcW w:w="2367" w:type="dxa"/>
            <w:shd w:val="clear" w:color="auto" w:fill="B4C6E7" w:themeFill="accent1" w:themeFillTint="66"/>
            <w:vAlign w:val="center"/>
          </w:tcPr>
          <w:p w14:paraId="5DC1B76C" w14:textId="77777777" w:rsidR="00552610" w:rsidRPr="005366A5" w:rsidRDefault="00552610" w:rsidP="00D00416">
            <w:pPr>
              <w:jc w:val="center"/>
              <w:rPr>
                <w:color w:val="auto"/>
              </w:rPr>
            </w:pPr>
            <w:r w:rsidRPr="005366A5">
              <w:rPr>
                <w:color w:val="auto"/>
              </w:rPr>
              <w:t>spodní hranice odhadu</w:t>
            </w:r>
          </w:p>
        </w:tc>
        <w:tc>
          <w:tcPr>
            <w:tcW w:w="1534" w:type="dxa"/>
            <w:shd w:val="clear" w:color="auto" w:fill="B4C6E7" w:themeFill="accent1" w:themeFillTint="66"/>
            <w:vAlign w:val="center"/>
          </w:tcPr>
          <w:p w14:paraId="6BA69EE5" w14:textId="77777777" w:rsidR="00552610" w:rsidRPr="005366A5" w:rsidRDefault="00552610" w:rsidP="00D00416">
            <w:pPr>
              <w:jc w:val="center"/>
              <w:rPr>
                <w:color w:val="auto"/>
              </w:rPr>
            </w:pPr>
            <w:r w:rsidRPr="005366A5">
              <w:rPr>
                <w:color w:val="auto"/>
              </w:rPr>
              <w:t>střed</w:t>
            </w:r>
          </w:p>
        </w:tc>
        <w:tc>
          <w:tcPr>
            <w:tcW w:w="2367" w:type="dxa"/>
            <w:shd w:val="clear" w:color="auto" w:fill="B4C6E7" w:themeFill="accent1" w:themeFillTint="66"/>
            <w:vAlign w:val="center"/>
          </w:tcPr>
          <w:p w14:paraId="722AB046" w14:textId="77777777" w:rsidR="00552610" w:rsidRPr="005366A5" w:rsidRDefault="00552610" w:rsidP="00D00416">
            <w:pPr>
              <w:jc w:val="center"/>
              <w:rPr>
                <w:color w:val="auto"/>
              </w:rPr>
            </w:pPr>
            <w:r w:rsidRPr="005366A5">
              <w:rPr>
                <w:color w:val="auto"/>
              </w:rPr>
              <w:t>horní hranice odhadu</w:t>
            </w:r>
          </w:p>
        </w:tc>
      </w:tr>
      <w:tr w:rsidR="00552610" w:rsidRPr="00D66167" w14:paraId="331E7AE7" w14:textId="77777777" w:rsidTr="00552610">
        <w:trPr>
          <w:jc w:val="center"/>
        </w:trPr>
        <w:tc>
          <w:tcPr>
            <w:tcW w:w="969" w:type="dxa"/>
            <w:shd w:val="clear" w:color="auto" w:fill="B4C6E7" w:themeFill="accent1" w:themeFillTint="66"/>
            <w:vAlign w:val="center"/>
          </w:tcPr>
          <w:p w14:paraId="63FDD0A2" w14:textId="77777777" w:rsidR="00552610" w:rsidRPr="005366A5" w:rsidRDefault="00552610" w:rsidP="00D00416">
            <w:pPr>
              <w:jc w:val="center"/>
              <w:rPr>
                <w:color w:val="auto"/>
              </w:rPr>
            </w:pPr>
            <w:r w:rsidRPr="005366A5">
              <w:rPr>
                <w:color w:val="auto"/>
              </w:rPr>
              <w:t>2012</w:t>
            </w:r>
          </w:p>
        </w:tc>
        <w:tc>
          <w:tcPr>
            <w:tcW w:w="843" w:type="dxa"/>
            <w:shd w:val="clear" w:color="auto" w:fill="B4C6E7" w:themeFill="accent1" w:themeFillTint="66"/>
            <w:vAlign w:val="center"/>
          </w:tcPr>
          <w:p w14:paraId="1B39D52F" w14:textId="77777777" w:rsidR="00552610" w:rsidRPr="005366A5" w:rsidRDefault="00552610" w:rsidP="00D00416">
            <w:pPr>
              <w:jc w:val="center"/>
              <w:rPr>
                <w:color w:val="auto"/>
              </w:rPr>
            </w:pPr>
            <w:r w:rsidRPr="005366A5">
              <w:rPr>
                <w:color w:val="auto"/>
              </w:rPr>
              <w:t>ČR</w:t>
            </w:r>
          </w:p>
        </w:tc>
        <w:tc>
          <w:tcPr>
            <w:tcW w:w="2367" w:type="dxa"/>
            <w:shd w:val="clear" w:color="auto" w:fill="auto"/>
            <w:vAlign w:val="center"/>
          </w:tcPr>
          <w:p w14:paraId="14B428FE" w14:textId="77777777" w:rsidR="00552610" w:rsidRPr="005366A5" w:rsidRDefault="00552610" w:rsidP="00D00416">
            <w:pPr>
              <w:jc w:val="center"/>
              <w:rPr>
                <w:color w:val="auto"/>
              </w:rPr>
            </w:pPr>
            <w:r w:rsidRPr="005366A5">
              <w:rPr>
                <w:color w:val="auto"/>
              </w:rPr>
              <w:t>28 500</w:t>
            </w:r>
          </w:p>
        </w:tc>
        <w:tc>
          <w:tcPr>
            <w:tcW w:w="1534" w:type="dxa"/>
            <w:shd w:val="clear" w:color="auto" w:fill="auto"/>
            <w:vAlign w:val="center"/>
          </w:tcPr>
          <w:p w14:paraId="5E956599" w14:textId="77777777" w:rsidR="00552610" w:rsidRPr="005366A5" w:rsidRDefault="00552610" w:rsidP="00D00416">
            <w:pPr>
              <w:jc w:val="center"/>
              <w:rPr>
                <w:b/>
                <w:color w:val="auto"/>
              </w:rPr>
            </w:pPr>
            <w:r w:rsidRPr="005366A5">
              <w:rPr>
                <w:b/>
                <w:color w:val="auto"/>
              </w:rPr>
              <w:t>84 600</w:t>
            </w:r>
          </w:p>
        </w:tc>
        <w:tc>
          <w:tcPr>
            <w:tcW w:w="2367" w:type="dxa"/>
            <w:shd w:val="clear" w:color="auto" w:fill="auto"/>
            <w:vAlign w:val="center"/>
          </w:tcPr>
          <w:p w14:paraId="246789CE" w14:textId="77777777" w:rsidR="00552610" w:rsidRPr="005366A5" w:rsidRDefault="00552610" w:rsidP="00D00416">
            <w:pPr>
              <w:jc w:val="center"/>
              <w:rPr>
                <w:color w:val="auto"/>
              </w:rPr>
            </w:pPr>
            <w:r w:rsidRPr="005366A5">
              <w:rPr>
                <w:color w:val="auto"/>
              </w:rPr>
              <w:t>143 200</w:t>
            </w:r>
          </w:p>
        </w:tc>
      </w:tr>
      <w:tr w:rsidR="00552610" w:rsidRPr="00D66167" w14:paraId="4CCB1880" w14:textId="77777777" w:rsidTr="00552610">
        <w:trPr>
          <w:jc w:val="center"/>
        </w:trPr>
        <w:tc>
          <w:tcPr>
            <w:tcW w:w="969" w:type="dxa"/>
            <w:shd w:val="clear" w:color="auto" w:fill="B4C6E7" w:themeFill="accent1" w:themeFillTint="66"/>
            <w:vAlign w:val="center"/>
          </w:tcPr>
          <w:p w14:paraId="335DCC4E" w14:textId="77777777" w:rsidR="00552610" w:rsidRPr="001507B2" w:rsidRDefault="00552610" w:rsidP="00D00416">
            <w:pPr>
              <w:jc w:val="center"/>
              <w:rPr>
                <w:color w:val="auto"/>
              </w:rPr>
            </w:pPr>
            <w:r w:rsidRPr="001507B2">
              <w:rPr>
                <w:color w:val="auto"/>
              </w:rPr>
              <w:t>2013</w:t>
            </w:r>
          </w:p>
        </w:tc>
        <w:tc>
          <w:tcPr>
            <w:tcW w:w="843" w:type="dxa"/>
            <w:shd w:val="clear" w:color="auto" w:fill="B4C6E7" w:themeFill="accent1" w:themeFillTint="66"/>
            <w:vAlign w:val="center"/>
          </w:tcPr>
          <w:p w14:paraId="3073A4C1" w14:textId="77777777" w:rsidR="00552610" w:rsidRPr="001507B2" w:rsidRDefault="00552610" w:rsidP="00D00416">
            <w:pPr>
              <w:jc w:val="center"/>
              <w:rPr>
                <w:color w:val="auto"/>
              </w:rPr>
            </w:pPr>
            <w:r w:rsidRPr="001507B2">
              <w:rPr>
                <w:color w:val="auto"/>
              </w:rPr>
              <w:t>ČR</w:t>
            </w:r>
          </w:p>
        </w:tc>
        <w:tc>
          <w:tcPr>
            <w:tcW w:w="2367" w:type="dxa"/>
            <w:shd w:val="clear" w:color="auto" w:fill="D9D9D9" w:themeFill="background1" w:themeFillShade="D9"/>
            <w:vAlign w:val="center"/>
          </w:tcPr>
          <w:p w14:paraId="5F84407A" w14:textId="77777777" w:rsidR="00552610" w:rsidRPr="001507B2" w:rsidRDefault="00552610" w:rsidP="00D00416">
            <w:pPr>
              <w:jc w:val="center"/>
              <w:rPr>
                <w:color w:val="auto"/>
              </w:rPr>
            </w:pPr>
            <w:r w:rsidRPr="001507B2">
              <w:rPr>
                <w:color w:val="auto"/>
              </w:rPr>
              <w:t>30 900</w:t>
            </w:r>
          </w:p>
        </w:tc>
        <w:tc>
          <w:tcPr>
            <w:tcW w:w="1534" w:type="dxa"/>
            <w:shd w:val="clear" w:color="auto" w:fill="D9D9D9" w:themeFill="background1" w:themeFillShade="D9"/>
            <w:vAlign w:val="center"/>
          </w:tcPr>
          <w:p w14:paraId="6FAA6348" w14:textId="77777777" w:rsidR="00552610" w:rsidRPr="001507B2" w:rsidRDefault="00552610" w:rsidP="00D00416">
            <w:pPr>
              <w:jc w:val="center"/>
              <w:rPr>
                <w:b/>
                <w:color w:val="auto"/>
              </w:rPr>
            </w:pPr>
            <w:r w:rsidRPr="001507B2">
              <w:rPr>
                <w:b/>
                <w:color w:val="auto"/>
              </w:rPr>
              <w:t>94 600</w:t>
            </w:r>
          </w:p>
        </w:tc>
        <w:tc>
          <w:tcPr>
            <w:tcW w:w="2367" w:type="dxa"/>
            <w:shd w:val="clear" w:color="auto" w:fill="D9D9D9" w:themeFill="background1" w:themeFillShade="D9"/>
            <w:vAlign w:val="center"/>
          </w:tcPr>
          <w:p w14:paraId="76AFAEA0" w14:textId="77777777" w:rsidR="00552610" w:rsidRPr="001507B2" w:rsidRDefault="00552610" w:rsidP="00D00416">
            <w:pPr>
              <w:jc w:val="center"/>
              <w:rPr>
                <w:color w:val="auto"/>
              </w:rPr>
            </w:pPr>
            <w:r w:rsidRPr="001507B2">
              <w:rPr>
                <w:color w:val="auto"/>
              </w:rPr>
              <w:t>155 100</w:t>
            </w:r>
          </w:p>
        </w:tc>
      </w:tr>
      <w:tr w:rsidR="00552610" w:rsidRPr="00D66167" w14:paraId="33329250" w14:textId="77777777" w:rsidTr="00552610">
        <w:trPr>
          <w:jc w:val="center"/>
        </w:trPr>
        <w:tc>
          <w:tcPr>
            <w:tcW w:w="969" w:type="dxa"/>
            <w:shd w:val="clear" w:color="auto" w:fill="B4C6E7" w:themeFill="accent1" w:themeFillTint="66"/>
            <w:vAlign w:val="center"/>
          </w:tcPr>
          <w:p w14:paraId="2677C164" w14:textId="77777777" w:rsidR="00552610" w:rsidRPr="001507B2" w:rsidRDefault="00552610" w:rsidP="00D00416">
            <w:pPr>
              <w:jc w:val="center"/>
              <w:rPr>
                <w:color w:val="auto"/>
              </w:rPr>
            </w:pPr>
            <w:r w:rsidRPr="001507B2">
              <w:rPr>
                <w:color w:val="auto"/>
              </w:rPr>
              <w:t>2014</w:t>
            </w:r>
          </w:p>
        </w:tc>
        <w:tc>
          <w:tcPr>
            <w:tcW w:w="843" w:type="dxa"/>
            <w:shd w:val="clear" w:color="auto" w:fill="B4C6E7" w:themeFill="accent1" w:themeFillTint="66"/>
            <w:vAlign w:val="center"/>
          </w:tcPr>
          <w:p w14:paraId="5B42D977" w14:textId="77777777" w:rsidR="00552610" w:rsidRPr="001507B2" w:rsidRDefault="00552610" w:rsidP="00D00416">
            <w:pPr>
              <w:jc w:val="center"/>
              <w:rPr>
                <w:color w:val="auto"/>
              </w:rPr>
            </w:pPr>
            <w:r w:rsidRPr="001507B2">
              <w:rPr>
                <w:color w:val="auto"/>
              </w:rPr>
              <w:t>ČR</w:t>
            </w:r>
          </w:p>
        </w:tc>
        <w:tc>
          <w:tcPr>
            <w:tcW w:w="2367" w:type="dxa"/>
            <w:shd w:val="clear" w:color="auto" w:fill="auto"/>
            <w:vAlign w:val="center"/>
          </w:tcPr>
          <w:p w14:paraId="2E9D96A7" w14:textId="77777777" w:rsidR="00552610" w:rsidRPr="001507B2" w:rsidRDefault="00552610" w:rsidP="00D00416">
            <w:pPr>
              <w:jc w:val="center"/>
              <w:rPr>
                <w:color w:val="auto"/>
              </w:rPr>
            </w:pPr>
            <w:r w:rsidRPr="001507B2">
              <w:rPr>
                <w:color w:val="auto"/>
              </w:rPr>
              <w:t>29 400</w:t>
            </w:r>
          </w:p>
        </w:tc>
        <w:tc>
          <w:tcPr>
            <w:tcW w:w="1534" w:type="dxa"/>
            <w:shd w:val="clear" w:color="auto" w:fill="auto"/>
            <w:vAlign w:val="center"/>
          </w:tcPr>
          <w:p w14:paraId="6EA95823" w14:textId="77777777" w:rsidR="00552610" w:rsidRPr="001507B2" w:rsidRDefault="00552610" w:rsidP="00D00416">
            <w:pPr>
              <w:jc w:val="center"/>
              <w:rPr>
                <w:b/>
                <w:color w:val="auto"/>
              </w:rPr>
            </w:pPr>
            <w:r w:rsidRPr="001507B2">
              <w:rPr>
                <w:b/>
                <w:color w:val="auto"/>
              </w:rPr>
              <w:t>84 500</w:t>
            </w:r>
          </w:p>
        </w:tc>
        <w:tc>
          <w:tcPr>
            <w:tcW w:w="2367" w:type="dxa"/>
            <w:shd w:val="clear" w:color="auto" w:fill="auto"/>
            <w:vAlign w:val="center"/>
          </w:tcPr>
          <w:p w14:paraId="71A71DE3" w14:textId="77777777" w:rsidR="00552610" w:rsidRPr="001507B2" w:rsidRDefault="00552610" w:rsidP="00D00416">
            <w:pPr>
              <w:jc w:val="center"/>
              <w:rPr>
                <w:color w:val="auto"/>
              </w:rPr>
            </w:pPr>
            <w:r w:rsidRPr="001507B2">
              <w:rPr>
                <w:color w:val="auto"/>
              </w:rPr>
              <w:t>147 400</w:t>
            </w:r>
          </w:p>
        </w:tc>
      </w:tr>
      <w:tr w:rsidR="00552610" w:rsidRPr="00D66167" w14:paraId="34219A81" w14:textId="77777777" w:rsidTr="00552610">
        <w:trPr>
          <w:jc w:val="center"/>
        </w:trPr>
        <w:tc>
          <w:tcPr>
            <w:tcW w:w="969" w:type="dxa"/>
            <w:shd w:val="clear" w:color="auto" w:fill="B4C6E7" w:themeFill="accent1" w:themeFillTint="66"/>
            <w:vAlign w:val="center"/>
          </w:tcPr>
          <w:p w14:paraId="3623E2DA" w14:textId="77777777" w:rsidR="00552610" w:rsidRPr="001507B2" w:rsidRDefault="00552610" w:rsidP="00D00416">
            <w:pPr>
              <w:jc w:val="center"/>
              <w:rPr>
                <w:color w:val="auto"/>
              </w:rPr>
            </w:pPr>
            <w:r w:rsidRPr="001507B2">
              <w:rPr>
                <w:color w:val="auto"/>
              </w:rPr>
              <w:t>2015</w:t>
            </w:r>
          </w:p>
        </w:tc>
        <w:tc>
          <w:tcPr>
            <w:tcW w:w="843" w:type="dxa"/>
            <w:shd w:val="clear" w:color="auto" w:fill="B4C6E7" w:themeFill="accent1" w:themeFillTint="66"/>
            <w:vAlign w:val="center"/>
          </w:tcPr>
          <w:p w14:paraId="19C28C3B" w14:textId="77777777" w:rsidR="00552610" w:rsidRPr="001507B2" w:rsidRDefault="00552610" w:rsidP="00D00416">
            <w:pPr>
              <w:jc w:val="center"/>
              <w:rPr>
                <w:color w:val="auto"/>
              </w:rPr>
            </w:pPr>
            <w:r w:rsidRPr="001507B2">
              <w:rPr>
                <w:color w:val="auto"/>
              </w:rPr>
              <w:t>ČR</w:t>
            </w:r>
          </w:p>
        </w:tc>
        <w:tc>
          <w:tcPr>
            <w:tcW w:w="2367" w:type="dxa"/>
            <w:shd w:val="clear" w:color="auto" w:fill="D9D9D9" w:themeFill="background1" w:themeFillShade="D9"/>
          </w:tcPr>
          <w:p w14:paraId="578A6E67" w14:textId="77777777" w:rsidR="00552610" w:rsidRPr="001507B2" w:rsidRDefault="00552610" w:rsidP="00D00416">
            <w:pPr>
              <w:jc w:val="center"/>
              <w:rPr>
                <w:color w:val="auto"/>
              </w:rPr>
            </w:pPr>
            <w:r w:rsidRPr="001507B2">
              <w:rPr>
                <w:color w:val="auto"/>
              </w:rPr>
              <w:t>23 800</w:t>
            </w:r>
          </w:p>
        </w:tc>
        <w:tc>
          <w:tcPr>
            <w:tcW w:w="1534" w:type="dxa"/>
            <w:shd w:val="clear" w:color="auto" w:fill="D9D9D9" w:themeFill="background1" w:themeFillShade="D9"/>
          </w:tcPr>
          <w:p w14:paraId="74BA3D62" w14:textId="77777777" w:rsidR="00552610" w:rsidRPr="001507B2" w:rsidRDefault="00552610" w:rsidP="00D00416">
            <w:pPr>
              <w:jc w:val="center"/>
              <w:rPr>
                <w:b/>
                <w:color w:val="auto"/>
              </w:rPr>
            </w:pPr>
            <w:r w:rsidRPr="001507B2">
              <w:rPr>
                <w:b/>
                <w:color w:val="auto"/>
              </w:rPr>
              <w:t>70 000</w:t>
            </w:r>
          </w:p>
        </w:tc>
        <w:tc>
          <w:tcPr>
            <w:tcW w:w="2367" w:type="dxa"/>
            <w:shd w:val="clear" w:color="auto" w:fill="D9D9D9" w:themeFill="background1" w:themeFillShade="D9"/>
          </w:tcPr>
          <w:p w14:paraId="27D1BBE2" w14:textId="77777777" w:rsidR="00552610" w:rsidRPr="001507B2" w:rsidRDefault="00552610" w:rsidP="00D00416">
            <w:pPr>
              <w:jc w:val="center"/>
              <w:rPr>
                <w:color w:val="auto"/>
              </w:rPr>
            </w:pPr>
            <w:r w:rsidRPr="001507B2">
              <w:rPr>
                <w:color w:val="auto"/>
              </w:rPr>
              <w:t>120 900</w:t>
            </w:r>
          </w:p>
        </w:tc>
      </w:tr>
      <w:tr w:rsidR="00552610" w:rsidRPr="00D66167" w14:paraId="12808C25" w14:textId="77777777" w:rsidTr="00552610">
        <w:trPr>
          <w:jc w:val="center"/>
        </w:trPr>
        <w:tc>
          <w:tcPr>
            <w:tcW w:w="969" w:type="dxa"/>
            <w:shd w:val="clear" w:color="auto" w:fill="B4C6E7" w:themeFill="accent1" w:themeFillTint="66"/>
            <w:vAlign w:val="center"/>
          </w:tcPr>
          <w:p w14:paraId="083112B2" w14:textId="77777777" w:rsidR="00552610" w:rsidRPr="001507B2" w:rsidRDefault="00552610" w:rsidP="00D00416">
            <w:pPr>
              <w:jc w:val="center"/>
              <w:rPr>
                <w:color w:val="auto"/>
              </w:rPr>
            </w:pPr>
            <w:r w:rsidRPr="001507B2">
              <w:rPr>
                <w:color w:val="auto"/>
              </w:rPr>
              <w:t>2016</w:t>
            </w:r>
          </w:p>
        </w:tc>
        <w:tc>
          <w:tcPr>
            <w:tcW w:w="843" w:type="dxa"/>
            <w:shd w:val="clear" w:color="auto" w:fill="B4C6E7" w:themeFill="accent1" w:themeFillTint="66"/>
            <w:vAlign w:val="center"/>
          </w:tcPr>
          <w:p w14:paraId="5DA6E33F" w14:textId="77777777" w:rsidR="00552610" w:rsidRPr="001507B2" w:rsidRDefault="00552610" w:rsidP="00D00416">
            <w:pPr>
              <w:jc w:val="center"/>
              <w:rPr>
                <w:color w:val="auto"/>
              </w:rPr>
            </w:pPr>
            <w:r w:rsidRPr="001507B2">
              <w:rPr>
                <w:color w:val="auto"/>
              </w:rPr>
              <w:t>ČR</w:t>
            </w:r>
          </w:p>
        </w:tc>
        <w:tc>
          <w:tcPr>
            <w:tcW w:w="2367" w:type="dxa"/>
            <w:shd w:val="clear" w:color="auto" w:fill="auto"/>
          </w:tcPr>
          <w:p w14:paraId="6668C4A5" w14:textId="77777777" w:rsidR="00552610" w:rsidRPr="001507B2" w:rsidRDefault="00552610" w:rsidP="00D00416">
            <w:pPr>
              <w:jc w:val="center"/>
              <w:rPr>
                <w:color w:val="auto"/>
              </w:rPr>
            </w:pPr>
            <w:r w:rsidRPr="001507B2">
              <w:rPr>
                <w:color w:val="auto"/>
              </w:rPr>
              <w:t>24 400</w:t>
            </w:r>
          </w:p>
        </w:tc>
        <w:tc>
          <w:tcPr>
            <w:tcW w:w="1534" w:type="dxa"/>
            <w:shd w:val="clear" w:color="auto" w:fill="auto"/>
          </w:tcPr>
          <w:p w14:paraId="5C4CE932" w14:textId="77777777" w:rsidR="00552610" w:rsidRPr="001507B2" w:rsidRDefault="00552610" w:rsidP="00D00416">
            <w:pPr>
              <w:jc w:val="center"/>
              <w:rPr>
                <w:b/>
                <w:color w:val="auto"/>
              </w:rPr>
            </w:pPr>
            <w:r w:rsidRPr="001507B2">
              <w:rPr>
                <w:b/>
                <w:color w:val="auto"/>
              </w:rPr>
              <w:t>62 100</w:t>
            </w:r>
          </w:p>
        </w:tc>
        <w:tc>
          <w:tcPr>
            <w:tcW w:w="2367" w:type="dxa"/>
            <w:shd w:val="clear" w:color="auto" w:fill="auto"/>
          </w:tcPr>
          <w:p w14:paraId="0D9B1BA7" w14:textId="77777777" w:rsidR="00552610" w:rsidRPr="001507B2" w:rsidRDefault="00552610" w:rsidP="00D00416">
            <w:pPr>
              <w:jc w:val="center"/>
              <w:rPr>
                <w:color w:val="auto"/>
              </w:rPr>
            </w:pPr>
            <w:r w:rsidRPr="001507B2">
              <w:rPr>
                <w:color w:val="auto"/>
              </w:rPr>
              <w:t>109 100</w:t>
            </w:r>
          </w:p>
        </w:tc>
      </w:tr>
      <w:tr w:rsidR="00552610" w:rsidRPr="00D66167" w14:paraId="61458309" w14:textId="77777777" w:rsidTr="00552610">
        <w:trPr>
          <w:jc w:val="center"/>
        </w:trPr>
        <w:tc>
          <w:tcPr>
            <w:tcW w:w="969" w:type="dxa"/>
            <w:shd w:val="clear" w:color="auto" w:fill="B4C6E7" w:themeFill="accent1" w:themeFillTint="66"/>
            <w:vAlign w:val="center"/>
          </w:tcPr>
          <w:p w14:paraId="688D1CF0" w14:textId="77777777" w:rsidR="00552610" w:rsidRPr="001507B2" w:rsidRDefault="00552610" w:rsidP="00D00416">
            <w:pPr>
              <w:jc w:val="center"/>
              <w:rPr>
                <w:color w:val="auto"/>
              </w:rPr>
            </w:pPr>
            <w:r w:rsidRPr="001507B2">
              <w:rPr>
                <w:color w:val="auto"/>
              </w:rPr>
              <w:t>2017</w:t>
            </w:r>
          </w:p>
        </w:tc>
        <w:tc>
          <w:tcPr>
            <w:tcW w:w="843" w:type="dxa"/>
            <w:shd w:val="clear" w:color="auto" w:fill="B4C6E7" w:themeFill="accent1" w:themeFillTint="66"/>
            <w:vAlign w:val="center"/>
          </w:tcPr>
          <w:p w14:paraId="089C178E" w14:textId="77777777" w:rsidR="00552610" w:rsidRPr="001507B2" w:rsidRDefault="00552610" w:rsidP="00D00416">
            <w:pPr>
              <w:jc w:val="center"/>
              <w:rPr>
                <w:color w:val="auto"/>
              </w:rPr>
            </w:pPr>
            <w:r w:rsidRPr="001507B2">
              <w:rPr>
                <w:color w:val="auto"/>
              </w:rPr>
              <w:t>ČR</w:t>
            </w:r>
          </w:p>
        </w:tc>
        <w:tc>
          <w:tcPr>
            <w:tcW w:w="2367" w:type="dxa"/>
            <w:shd w:val="clear" w:color="auto" w:fill="D9D9D9" w:themeFill="background1" w:themeFillShade="D9"/>
          </w:tcPr>
          <w:p w14:paraId="6740596E" w14:textId="77777777" w:rsidR="00552610" w:rsidRPr="001507B2" w:rsidRDefault="00552610" w:rsidP="00D00416">
            <w:pPr>
              <w:jc w:val="center"/>
              <w:rPr>
                <w:color w:val="auto"/>
              </w:rPr>
            </w:pPr>
            <w:r w:rsidRPr="001507B2">
              <w:rPr>
                <w:color w:val="auto"/>
              </w:rPr>
              <w:t>25 700</w:t>
            </w:r>
          </w:p>
        </w:tc>
        <w:tc>
          <w:tcPr>
            <w:tcW w:w="1534" w:type="dxa"/>
            <w:shd w:val="clear" w:color="auto" w:fill="D9D9D9" w:themeFill="background1" w:themeFillShade="D9"/>
          </w:tcPr>
          <w:p w14:paraId="2AB3CFAB" w14:textId="77777777" w:rsidR="00552610" w:rsidRPr="001507B2" w:rsidRDefault="00552610" w:rsidP="00D00416">
            <w:pPr>
              <w:jc w:val="center"/>
              <w:rPr>
                <w:b/>
                <w:color w:val="auto"/>
              </w:rPr>
            </w:pPr>
            <w:r w:rsidRPr="001507B2">
              <w:rPr>
                <w:b/>
                <w:color w:val="auto"/>
              </w:rPr>
              <w:t>74 200</w:t>
            </w:r>
          </w:p>
        </w:tc>
        <w:tc>
          <w:tcPr>
            <w:tcW w:w="2367" w:type="dxa"/>
            <w:shd w:val="clear" w:color="auto" w:fill="D9D9D9" w:themeFill="background1" w:themeFillShade="D9"/>
          </w:tcPr>
          <w:p w14:paraId="4F328C84" w14:textId="77777777" w:rsidR="00552610" w:rsidRPr="001507B2" w:rsidRDefault="00552610" w:rsidP="00D00416">
            <w:pPr>
              <w:jc w:val="center"/>
              <w:rPr>
                <w:color w:val="auto"/>
              </w:rPr>
            </w:pPr>
            <w:r w:rsidRPr="001507B2">
              <w:rPr>
                <w:color w:val="auto"/>
              </w:rPr>
              <w:t>130 000</w:t>
            </w:r>
          </w:p>
        </w:tc>
      </w:tr>
      <w:tr w:rsidR="00552610" w:rsidRPr="00D66167" w14:paraId="44819FD0" w14:textId="77777777" w:rsidTr="00552610">
        <w:trPr>
          <w:jc w:val="center"/>
        </w:trPr>
        <w:tc>
          <w:tcPr>
            <w:tcW w:w="969" w:type="dxa"/>
            <w:shd w:val="clear" w:color="auto" w:fill="B4C6E7" w:themeFill="accent1" w:themeFillTint="66"/>
            <w:vAlign w:val="center"/>
          </w:tcPr>
          <w:p w14:paraId="42C0DD5E" w14:textId="77777777" w:rsidR="00552610" w:rsidRPr="001507B2" w:rsidRDefault="00552610" w:rsidP="00D00416">
            <w:pPr>
              <w:jc w:val="center"/>
              <w:rPr>
                <w:color w:val="auto"/>
              </w:rPr>
            </w:pPr>
            <w:r w:rsidRPr="001507B2">
              <w:rPr>
                <w:color w:val="auto"/>
              </w:rPr>
              <w:t>2018</w:t>
            </w:r>
          </w:p>
        </w:tc>
        <w:tc>
          <w:tcPr>
            <w:tcW w:w="843" w:type="dxa"/>
            <w:shd w:val="clear" w:color="auto" w:fill="B4C6E7" w:themeFill="accent1" w:themeFillTint="66"/>
            <w:vAlign w:val="center"/>
          </w:tcPr>
          <w:p w14:paraId="7BF9249B" w14:textId="77777777" w:rsidR="00552610" w:rsidRPr="001507B2" w:rsidRDefault="00552610" w:rsidP="00D00416">
            <w:pPr>
              <w:jc w:val="center"/>
              <w:rPr>
                <w:color w:val="auto"/>
              </w:rPr>
            </w:pPr>
            <w:r w:rsidRPr="001507B2">
              <w:rPr>
                <w:color w:val="auto"/>
              </w:rPr>
              <w:t>ČR</w:t>
            </w:r>
          </w:p>
        </w:tc>
        <w:tc>
          <w:tcPr>
            <w:tcW w:w="2367" w:type="dxa"/>
            <w:shd w:val="clear" w:color="auto" w:fill="auto"/>
          </w:tcPr>
          <w:p w14:paraId="1FFE36C3" w14:textId="77777777" w:rsidR="00552610" w:rsidRPr="001507B2" w:rsidRDefault="00552610" w:rsidP="00D00416">
            <w:pPr>
              <w:jc w:val="center"/>
              <w:rPr>
                <w:color w:val="auto"/>
              </w:rPr>
            </w:pPr>
            <w:r w:rsidRPr="001507B2">
              <w:rPr>
                <w:color w:val="auto"/>
              </w:rPr>
              <w:t>27 900</w:t>
            </w:r>
          </w:p>
        </w:tc>
        <w:tc>
          <w:tcPr>
            <w:tcW w:w="1534" w:type="dxa"/>
            <w:shd w:val="clear" w:color="auto" w:fill="auto"/>
          </w:tcPr>
          <w:p w14:paraId="76879268" w14:textId="77777777" w:rsidR="00552610" w:rsidRPr="001507B2" w:rsidRDefault="00552610" w:rsidP="00D00416">
            <w:pPr>
              <w:jc w:val="center"/>
              <w:rPr>
                <w:b/>
                <w:color w:val="auto"/>
              </w:rPr>
            </w:pPr>
            <w:r w:rsidRPr="001507B2">
              <w:rPr>
                <w:b/>
                <w:color w:val="auto"/>
              </w:rPr>
              <w:t>80 600</w:t>
            </w:r>
          </w:p>
        </w:tc>
        <w:tc>
          <w:tcPr>
            <w:tcW w:w="2367" w:type="dxa"/>
            <w:shd w:val="clear" w:color="auto" w:fill="auto"/>
          </w:tcPr>
          <w:p w14:paraId="4A088921" w14:textId="77777777" w:rsidR="00552610" w:rsidRPr="001507B2" w:rsidRDefault="00552610" w:rsidP="00D00416">
            <w:pPr>
              <w:jc w:val="center"/>
              <w:rPr>
                <w:color w:val="auto"/>
              </w:rPr>
            </w:pPr>
            <w:r w:rsidRPr="001507B2">
              <w:rPr>
                <w:color w:val="auto"/>
              </w:rPr>
              <w:t>141 00</w:t>
            </w:r>
          </w:p>
        </w:tc>
      </w:tr>
      <w:tr w:rsidR="00552610" w:rsidRPr="00D66167" w14:paraId="78808BD6" w14:textId="77777777" w:rsidTr="00552610">
        <w:trPr>
          <w:jc w:val="center"/>
        </w:trPr>
        <w:tc>
          <w:tcPr>
            <w:tcW w:w="969" w:type="dxa"/>
            <w:shd w:val="clear" w:color="auto" w:fill="B4C6E7" w:themeFill="accent1" w:themeFillTint="66"/>
            <w:vAlign w:val="center"/>
          </w:tcPr>
          <w:p w14:paraId="3BDCCCD3" w14:textId="77777777" w:rsidR="00552610" w:rsidRPr="001507B2" w:rsidRDefault="00552610" w:rsidP="00D00416">
            <w:pPr>
              <w:jc w:val="center"/>
              <w:rPr>
                <w:color w:val="auto"/>
              </w:rPr>
            </w:pPr>
            <w:r w:rsidRPr="001507B2">
              <w:rPr>
                <w:color w:val="auto"/>
              </w:rPr>
              <w:t>2019</w:t>
            </w:r>
          </w:p>
        </w:tc>
        <w:tc>
          <w:tcPr>
            <w:tcW w:w="843" w:type="dxa"/>
            <w:shd w:val="clear" w:color="auto" w:fill="B4C6E7" w:themeFill="accent1" w:themeFillTint="66"/>
            <w:vAlign w:val="center"/>
          </w:tcPr>
          <w:p w14:paraId="20AA8176" w14:textId="77777777" w:rsidR="00552610" w:rsidRPr="001507B2" w:rsidRDefault="00552610" w:rsidP="00D00416">
            <w:pPr>
              <w:jc w:val="center"/>
              <w:rPr>
                <w:color w:val="auto"/>
              </w:rPr>
            </w:pPr>
            <w:r w:rsidRPr="001507B2">
              <w:rPr>
                <w:color w:val="auto"/>
              </w:rPr>
              <w:t>ČR</w:t>
            </w:r>
          </w:p>
        </w:tc>
        <w:tc>
          <w:tcPr>
            <w:tcW w:w="2367" w:type="dxa"/>
            <w:shd w:val="clear" w:color="auto" w:fill="D9D9D9" w:themeFill="background1" w:themeFillShade="D9"/>
          </w:tcPr>
          <w:p w14:paraId="4835584B" w14:textId="77777777" w:rsidR="00552610" w:rsidRPr="001507B2" w:rsidRDefault="00552610" w:rsidP="00D00416">
            <w:pPr>
              <w:jc w:val="center"/>
              <w:rPr>
                <w:color w:val="auto"/>
              </w:rPr>
            </w:pPr>
            <w:r w:rsidRPr="001507B2">
              <w:rPr>
                <w:color w:val="auto"/>
              </w:rPr>
              <w:t>18 100</w:t>
            </w:r>
          </w:p>
        </w:tc>
        <w:tc>
          <w:tcPr>
            <w:tcW w:w="1534" w:type="dxa"/>
            <w:shd w:val="clear" w:color="auto" w:fill="D9D9D9" w:themeFill="background1" w:themeFillShade="D9"/>
          </w:tcPr>
          <w:p w14:paraId="41891993" w14:textId="77777777" w:rsidR="00552610" w:rsidRPr="001507B2" w:rsidRDefault="00552610" w:rsidP="00D00416">
            <w:pPr>
              <w:jc w:val="center"/>
              <w:rPr>
                <w:b/>
                <w:color w:val="auto"/>
              </w:rPr>
            </w:pPr>
            <w:r w:rsidRPr="001507B2">
              <w:rPr>
                <w:b/>
                <w:color w:val="auto"/>
              </w:rPr>
              <w:t>54 300</w:t>
            </w:r>
          </w:p>
        </w:tc>
        <w:tc>
          <w:tcPr>
            <w:tcW w:w="2367" w:type="dxa"/>
            <w:shd w:val="clear" w:color="auto" w:fill="D9D9D9" w:themeFill="background1" w:themeFillShade="D9"/>
          </w:tcPr>
          <w:p w14:paraId="43A6FE8F" w14:textId="77777777" w:rsidR="00552610" w:rsidRPr="001507B2" w:rsidRDefault="00552610" w:rsidP="00D00416">
            <w:pPr>
              <w:jc w:val="center"/>
              <w:rPr>
                <w:color w:val="auto"/>
              </w:rPr>
            </w:pPr>
            <w:r w:rsidRPr="001507B2">
              <w:rPr>
                <w:color w:val="auto"/>
              </w:rPr>
              <w:t>71 400</w:t>
            </w:r>
          </w:p>
        </w:tc>
      </w:tr>
    </w:tbl>
    <w:p w14:paraId="17EFFCE8" w14:textId="02F13CC3" w:rsidR="00830024" w:rsidRPr="009E426D" w:rsidRDefault="00830024" w:rsidP="009E426D">
      <w:pPr>
        <w:pStyle w:val="DefaultText1"/>
        <w:numPr>
          <w:ilvl w:val="0"/>
          <w:numId w:val="31"/>
        </w:numPr>
        <w:spacing w:before="120" w:line="276" w:lineRule="auto"/>
        <w:jc w:val="both"/>
        <w:rPr>
          <w:rFonts w:ascii="Mulish" w:hAnsi="Mulish"/>
          <w:color w:val="000000" w:themeColor="text1"/>
          <w:sz w:val="22"/>
          <w:szCs w:val="22"/>
        </w:rPr>
      </w:pPr>
      <w:r w:rsidRPr="009E426D">
        <w:rPr>
          <w:rFonts w:ascii="Mulish" w:hAnsi="Mulish"/>
          <w:color w:val="000000" w:themeColor="text1"/>
          <w:sz w:val="22"/>
          <w:szCs w:val="22"/>
        </w:rPr>
        <w:lastRenderedPageBreak/>
        <w:t xml:space="preserve">U </w:t>
      </w:r>
      <w:r w:rsidRPr="009E426D">
        <w:rPr>
          <w:rFonts w:ascii="Mulish" w:hAnsi="Mulish"/>
          <w:b/>
          <w:color w:val="000000" w:themeColor="text1"/>
          <w:sz w:val="22"/>
          <w:szCs w:val="22"/>
        </w:rPr>
        <w:t>frakce PM</w:t>
      </w:r>
      <w:r w:rsidRPr="009E426D">
        <w:rPr>
          <w:rFonts w:ascii="Mulish" w:hAnsi="Mulish"/>
          <w:b/>
          <w:color w:val="000000" w:themeColor="text1"/>
          <w:sz w:val="22"/>
          <w:szCs w:val="22"/>
          <w:vertAlign w:val="subscript"/>
        </w:rPr>
        <w:t>2,5</w:t>
      </w:r>
      <w:r w:rsidRPr="009E426D">
        <w:rPr>
          <w:rFonts w:ascii="Mulish" w:hAnsi="Mulish"/>
          <w:color w:val="000000" w:themeColor="text1"/>
          <w:sz w:val="22"/>
          <w:szCs w:val="22"/>
        </w:rPr>
        <w:t xml:space="preserve"> se průměrné roční hmotnostní koncentrace frakce PM</w:t>
      </w:r>
      <w:r w:rsidRPr="009E426D">
        <w:rPr>
          <w:rFonts w:ascii="Mulish" w:hAnsi="Mulish"/>
          <w:color w:val="000000" w:themeColor="text1"/>
          <w:sz w:val="22"/>
          <w:szCs w:val="22"/>
          <w:vertAlign w:val="subscript"/>
        </w:rPr>
        <w:t>2,5</w:t>
      </w:r>
      <w:r w:rsidRPr="009E426D">
        <w:rPr>
          <w:rFonts w:ascii="Mulish" w:hAnsi="Mulish"/>
          <w:color w:val="000000" w:themeColor="text1"/>
          <w:sz w:val="22"/>
          <w:szCs w:val="22"/>
        </w:rPr>
        <w:t xml:space="preserve"> v roce 2022 pohybovaly od 7 do 24,5 µg/m</w:t>
      </w:r>
      <w:r w:rsidRPr="009E426D">
        <w:rPr>
          <w:rFonts w:ascii="Mulish" w:hAnsi="Mulish"/>
          <w:color w:val="000000" w:themeColor="text1"/>
          <w:sz w:val="22"/>
          <w:szCs w:val="22"/>
          <w:vertAlign w:val="superscript"/>
        </w:rPr>
        <w:t>3</w:t>
      </w:r>
      <w:r w:rsidRPr="009E426D">
        <w:rPr>
          <w:rFonts w:ascii="Mulish" w:hAnsi="Mulish"/>
          <w:color w:val="000000" w:themeColor="text1"/>
          <w:sz w:val="22"/>
          <w:szCs w:val="22"/>
        </w:rPr>
        <w:t>. Hodnota ročního imisního limitu 20 µg/m</w:t>
      </w:r>
      <w:r w:rsidRPr="009E426D">
        <w:rPr>
          <w:rFonts w:ascii="Mulish" w:hAnsi="Mulish"/>
          <w:color w:val="000000" w:themeColor="text1"/>
          <w:sz w:val="22"/>
          <w:szCs w:val="22"/>
          <w:vertAlign w:val="superscript"/>
        </w:rPr>
        <w:t>3</w:t>
      </w:r>
      <w:r w:rsidRPr="009E426D">
        <w:rPr>
          <w:rFonts w:ascii="Mulish" w:hAnsi="Mulish"/>
          <w:color w:val="000000" w:themeColor="text1"/>
          <w:sz w:val="22"/>
          <w:szCs w:val="22"/>
        </w:rPr>
        <w:t xml:space="preserve"> byla překročena na 4 stanicích v Moravsko-slezském kraji. Roční průměr na pozaďové stanici v Košeticích byl 9,6 µg/m</w:t>
      </w:r>
      <w:r w:rsidRPr="009E426D">
        <w:rPr>
          <w:rFonts w:ascii="Mulish" w:hAnsi="Mulish"/>
          <w:color w:val="000000" w:themeColor="text1"/>
          <w:sz w:val="22"/>
          <w:szCs w:val="22"/>
          <w:vertAlign w:val="superscript"/>
        </w:rPr>
        <w:t>3</w:t>
      </w:r>
      <w:r w:rsidRPr="009E426D">
        <w:rPr>
          <w:rFonts w:ascii="Mulish" w:hAnsi="Mulish"/>
          <w:color w:val="000000" w:themeColor="text1"/>
          <w:sz w:val="22"/>
          <w:szCs w:val="22"/>
        </w:rPr>
        <w:t>.</w:t>
      </w:r>
    </w:p>
    <w:p w14:paraId="6CC609D3" w14:textId="6010CFBE" w:rsidR="00830024" w:rsidRPr="009E426D" w:rsidRDefault="00830024" w:rsidP="009E426D">
      <w:pPr>
        <w:pStyle w:val="Odstavecseseznamem"/>
        <w:spacing w:before="120" w:line="276" w:lineRule="auto"/>
        <w:ind w:left="360"/>
        <w:jc w:val="both"/>
        <w:rPr>
          <w:rFonts w:ascii="Mulish" w:hAnsi="Mulish"/>
          <w:color w:val="000000" w:themeColor="text1"/>
          <w:sz w:val="22"/>
          <w:szCs w:val="22"/>
          <w14:shadow w14:blurRad="0" w14:dist="0" w14:dir="0" w14:sx="0" w14:sy="0" w14:kx="0" w14:ky="0" w14:algn="none">
            <w14:srgbClr w14:val="000000"/>
          </w14:shadow>
        </w:rPr>
      </w:pPr>
      <w:r w:rsidRPr="009E426D">
        <w:rPr>
          <w:rFonts w:ascii="Mulish" w:hAnsi="Mulish"/>
          <w:color w:val="000000" w:themeColor="text1"/>
          <w:sz w:val="22"/>
          <w:szCs w:val="22"/>
          <w14:shadow w14:blurRad="0" w14:dist="0" w14:dir="0" w14:sx="0" w14:sy="0" w14:kx="0" w14:ky="0" w14:algn="none">
            <w14:srgbClr w14:val="000000"/>
          </w14:shadow>
        </w:rPr>
        <w:t xml:space="preserve">Tabulka č. </w:t>
      </w:r>
      <w:r w:rsidRPr="009E426D">
        <w:rPr>
          <w:rFonts w:ascii="Mulish" w:hAnsi="Mulish"/>
          <w:noProof w:val="0"/>
          <w:color w:val="000000" w:themeColor="text1"/>
          <w:sz w:val="22"/>
          <w:szCs w:val="22"/>
          <w14:shadow w14:blurRad="0" w14:dist="0" w14:dir="0" w14:sx="0" w14:sy="0" w14:kx="0" w14:ky="0" w14:algn="none">
            <w14:srgbClr w14:val="000000"/>
          </w14:shadow>
        </w:rPr>
        <w:fldChar w:fldCharType="begin"/>
      </w:r>
      <w:r w:rsidRPr="009E426D">
        <w:rPr>
          <w:rFonts w:ascii="Mulish" w:hAnsi="Mulish"/>
          <w:noProof w:val="0"/>
          <w:color w:val="000000" w:themeColor="text1"/>
          <w:sz w:val="22"/>
          <w:szCs w:val="22"/>
          <w14:shadow w14:blurRad="0" w14:dist="0" w14:dir="0" w14:sx="0" w14:sy="0" w14:kx="0" w14:ky="0" w14:algn="none">
            <w14:srgbClr w14:val="000000"/>
          </w14:shadow>
        </w:rPr>
        <w:instrText xml:space="preserve"> SEQ Tabulka_č._ \* ARABIC </w:instrText>
      </w:r>
      <w:r w:rsidRPr="009E426D">
        <w:rPr>
          <w:rFonts w:ascii="Mulish" w:hAnsi="Mulish"/>
          <w:noProof w:val="0"/>
          <w:color w:val="000000" w:themeColor="text1"/>
          <w:sz w:val="22"/>
          <w:szCs w:val="22"/>
          <w14:shadow w14:blurRad="0" w14:dist="0" w14:dir="0" w14:sx="0" w14:sy="0" w14:kx="0" w14:ky="0" w14:algn="none">
            <w14:srgbClr w14:val="000000"/>
          </w14:shadow>
        </w:rPr>
        <w:fldChar w:fldCharType="separate"/>
      </w:r>
      <w:r w:rsidR="00D30EF9">
        <w:rPr>
          <w:rFonts w:ascii="Mulish" w:hAnsi="Mulish"/>
          <w:color w:val="000000" w:themeColor="text1"/>
          <w:sz w:val="22"/>
          <w:szCs w:val="22"/>
          <w14:shadow w14:blurRad="0" w14:dist="0" w14:dir="0" w14:sx="0" w14:sy="0" w14:kx="0" w14:ky="0" w14:algn="none">
            <w14:srgbClr w14:val="000000"/>
          </w14:shadow>
        </w:rPr>
        <w:t>7</w:t>
      </w:r>
      <w:r w:rsidRPr="009E426D">
        <w:rPr>
          <w:rFonts w:ascii="Mulish" w:hAnsi="Mulish"/>
          <w:noProof w:val="0"/>
          <w:color w:val="000000" w:themeColor="text1"/>
          <w:sz w:val="22"/>
          <w:szCs w:val="22"/>
          <w14:shadow w14:blurRad="0" w14:dist="0" w14:dir="0" w14:sx="0" w14:sy="0" w14:kx="0" w14:ky="0" w14:algn="none">
            <w14:srgbClr w14:val="000000"/>
          </w14:shadow>
        </w:rPr>
        <w:fldChar w:fldCharType="end"/>
      </w:r>
      <w:r w:rsidRPr="009E426D">
        <w:rPr>
          <w:rFonts w:ascii="Mulish" w:hAnsi="Mulish"/>
          <w:color w:val="000000" w:themeColor="text1"/>
          <w:sz w:val="22"/>
          <w:szCs w:val="22"/>
          <w14:shadow w14:blurRad="0" w14:dist="0" w14:dir="0" w14:sx="0" w14:sy="0" w14:kx="0" w14:ky="0" w14:algn="none">
            <w14:srgbClr w14:val="000000"/>
          </w14:shadow>
        </w:rPr>
        <w:t>. Rozpětí ročních průměrů PM</w:t>
      </w:r>
      <w:r w:rsidRPr="009E426D">
        <w:rPr>
          <w:rFonts w:ascii="Mulish" w:hAnsi="Mulish"/>
          <w:color w:val="000000" w:themeColor="text1"/>
          <w:sz w:val="22"/>
          <w:szCs w:val="22"/>
          <w:vertAlign w:val="subscript"/>
          <w14:shadow w14:blurRad="0" w14:dist="0" w14:dir="0" w14:sx="0" w14:sy="0" w14:kx="0" w14:ky="0" w14:algn="none">
            <w14:srgbClr w14:val="000000"/>
          </w14:shadow>
        </w:rPr>
        <w:t>2,5</w:t>
      </w:r>
      <w:r w:rsidRPr="009E426D">
        <w:rPr>
          <w:rFonts w:ascii="Mulish" w:hAnsi="Mulish"/>
          <w:color w:val="000000" w:themeColor="text1"/>
          <w:sz w:val="22"/>
          <w:szCs w:val="22"/>
          <w14:shadow w14:blurRad="0" w14:dist="0" w14:dir="0" w14:sx="0" w14:sy="0" w14:kx="0" w14:ky="0" w14:algn="none">
            <w14:srgbClr w14:val="000000"/>
          </w14:shadow>
        </w:rPr>
        <w:t xml:space="preserve"> v roce 2022 v ČR a v jednotlivých typech městských lokalit a odhad účinků</w:t>
      </w:r>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89"/>
        <w:gridCol w:w="839"/>
        <w:gridCol w:w="851"/>
        <w:gridCol w:w="1701"/>
        <w:gridCol w:w="1559"/>
      </w:tblGrid>
      <w:tr w:rsidR="00194AEB" w:rsidRPr="005C0389" w14:paraId="1768CDBA" w14:textId="77777777" w:rsidTr="00D00416">
        <w:trPr>
          <w:trHeight w:val="300"/>
          <w:jc w:val="center"/>
        </w:trPr>
        <w:tc>
          <w:tcPr>
            <w:tcW w:w="2989" w:type="dxa"/>
            <w:vMerge w:val="restart"/>
            <w:shd w:val="clear" w:color="auto" w:fill="B4C6E7" w:themeFill="accent1" w:themeFillTint="66"/>
            <w:noWrap/>
            <w:vAlign w:val="center"/>
          </w:tcPr>
          <w:p w14:paraId="1B01E81E" w14:textId="77777777" w:rsidR="00194AEB" w:rsidRPr="009E426D" w:rsidRDefault="00194AEB" w:rsidP="00D00416">
            <w:pPr>
              <w:widowControl w:val="0"/>
            </w:pPr>
            <w:r w:rsidRPr="009E426D">
              <w:t>roční průměry</w:t>
            </w:r>
          </w:p>
          <w:p w14:paraId="33329161" w14:textId="77777777" w:rsidR="00194AEB" w:rsidRPr="009E426D" w:rsidRDefault="00194AEB" w:rsidP="00D00416">
            <w:pPr>
              <w:widowControl w:val="0"/>
              <w:rPr>
                <w:bCs/>
              </w:rPr>
            </w:pPr>
            <w:r w:rsidRPr="009E426D">
              <w:t>rok 2022</w:t>
            </w:r>
          </w:p>
        </w:tc>
        <w:tc>
          <w:tcPr>
            <w:tcW w:w="1690" w:type="dxa"/>
            <w:gridSpan w:val="2"/>
            <w:shd w:val="clear" w:color="auto" w:fill="B4C6E7" w:themeFill="accent1" w:themeFillTint="66"/>
            <w:noWrap/>
            <w:vAlign w:val="center"/>
          </w:tcPr>
          <w:p w14:paraId="35FFFED8" w14:textId="77777777" w:rsidR="00194AEB" w:rsidRPr="009E426D" w:rsidRDefault="00194AEB" w:rsidP="00D00416">
            <w:pPr>
              <w:widowControl w:val="0"/>
              <w:jc w:val="center"/>
            </w:pPr>
            <w:r w:rsidRPr="009E426D">
              <w:t>PM</w:t>
            </w:r>
            <w:r w:rsidRPr="009E426D">
              <w:rPr>
                <w:vertAlign w:val="subscript"/>
              </w:rPr>
              <w:t>2,5</w:t>
            </w:r>
            <w:r w:rsidRPr="009E426D">
              <w:t xml:space="preserve"> (µg/m</w:t>
            </w:r>
            <w:r w:rsidRPr="009E426D">
              <w:rPr>
                <w:vertAlign w:val="superscript"/>
              </w:rPr>
              <w:t>3</w:t>
            </w:r>
            <w:r w:rsidRPr="009E426D">
              <w:t>)</w:t>
            </w:r>
          </w:p>
        </w:tc>
        <w:tc>
          <w:tcPr>
            <w:tcW w:w="3260" w:type="dxa"/>
            <w:gridSpan w:val="2"/>
            <w:shd w:val="clear" w:color="auto" w:fill="B4C6E7" w:themeFill="accent1" w:themeFillTint="66"/>
            <w:vAlign w:val="center"/>
          </w:tcPr>
          <w:p w14:paraId="38E07EAF" w14:textId="77777777" w:rsidR="00194AEB" w:rsidRPr="009E426D" w:rsidRDefault="00194AEB" w:rsidP="00D00416">
            <w:pPr>
              <w:widowControl w:val="0"/>
              <w:jc w:val="center"/>
              <w:rPr>
                <w:bCs/>
              </w:rPr>
            </w:pPr>
            <w:r w:rsidRPr="009E426D">
              <w:rPr>
                <w:bCs/>
              </w:rPr>
              <w:t>odhad navýšení celkové úmrtnosti v %</w:t>
            </w:r>
          </w:p>
        </w:tc>
      </w:tr>
      <w:tr w:rsidR="00194AEB" w:rsidRPr="005C0389" w14:paraId="11234B81" w14:textId="77777777" w:rsidTr="00D00416">
        <w:trPr>
          <w:trHeight w:val="300"/>
          <w:jc w:val="center"/>
        </w:trPr>
        <w:tc>
          <w:tcPr>
            <w:tcW w:w="2989" w:type="dxa"/>
            <w:vMerge/>
            <w:shd w:val="clear" w:color="auto" w:fill="B4C6E7" w:themeFill="accent1" w:themeFillTint="66"/>
            <w:noWrap/>
            <w:vAlign w:val="center"/>
          </w:tcPr>
          <w:p w14:paraId="2AA91D5B" w14:textId="77777777" w:rsidR="00194AEB" w:rsidRPr="009E426D" w:rsidRDefault="00194AEB" w:rsidP="00D00416">
            <w:pPr>
              <w:widowControl w:val="0"/>
              <w:jc w:val="center"/>
              <w:rPr>
                <w:bCs/>
              </w:rPr>
            </w:pPr>
          </w:p>
        </w:tc>
        <w:tc>
          <w:tcPr>
            <w:tcW w:w="839" w:type="dxa"/>
            <w:shd w:val="clear" w:color="auto" w:fill="B4C6E7" w:themeFill="accent1" w:themeFillTint="66"/>
            <w:noWrap/>
            <w:vAlign w:val="center"/>
          </w:tcPr>
          <w:p w14:paraId="34D7FC28" w14:textId="736A5E48" w:rsidR="00194AEB" w:rsidRPr="009E426D" w:rsidRDefault="00766CD7" w:rsidP="00D00416">
            <w:pPr>
              <w:widowControl w:val="0"/>
              <w:jc w:val="center"/>
              <w:rPr>
                <w:color w:val="FF0000"/>
              </w:rPr>
            </w:pPr>
            <w:r>
              <w:t>M</w:t>
            </w:r>
            <w:r w:rsidR="00194AEB" w:rsidRPr="009E426D">
              <w:t>in</w:t>
            </w:r>
          </w:p>
        </w:tc>
        <w:tc>
          <w:tcPr>
            <w:tcW w:w="851" w:type="dxa"/>
            <w:shd w:val="clear" w:color="auto" w:fill="B4C6E7" w:themeFill="accent1" w:themeFillTint="66"/>
            <w:noWrap/>
            <w:vAlign w:val="center"/>
          </w:tcPr>
          <w:p w14:paraId="5CF16B0A" w14:textId="2BF623A9" w:rsidR="00194AEB" w:rsidRPr="009E426D" w:rsidRDefault="00766CD7" w:rsidP="00D00416">
            <w:pPr>
              <w:widowControl w:val="0"/>
              <w:jc w:val="center"/>
            </w:pPr>
            <w:r>
              <w:t>M</w:t>
            </w:r>
            <w:r w:rsidR="00194AEB" w:rsidRPr="009E426D">
              <w:t>ax</w:t>
            </w:r>
          </w:p>
        </w:tc>
        <w:tc>
          <w:tcPr>
            <w:tcW w:w="1701" w:type="dxa"/>
            <w:shd w:val="clear" w:color="auto" w:fill="B4C6E7" w:themeFill="accent1" w:themeFillTint="66"/>
            <w:vAlign w:val="center"/>
          </w:tcPr>
          <w:p w14:paraId="34A436AD" w14:textId="5E721C5F" w:rsidR="00194AEB" w:rsidRPr="009E426D" w:rsidRDefault="00766CD7" w:rsidP="00D00416">
            <w:pPr>
              <w:widowControl w:val="0"/>
              <w:jc w:val="center"/>
            </w:pPr>
            <w:r>
              <w:t>M</w:t>
            </w:r>
            <w:r w:rsidR="00194AEB" w:rsidRPr="009E426D">
              <w:t>in</w:t>
            </w:r>
          </w:p>
        </w:tc>
        <w:tc>
          <w:tcPr>
            <w:tcW w:w="1559" w:type="dxa"/>
            <w:shd w:val="clear" w:color="auto" w:fill="B4C6E7" w:themeFill="accent1" w:themeFillTint="66"/>
            <w:vAlign w:val="center"/>
          </w:tcPr>
          <w:p w14:paraId="1AD24EBC" w14:textId="16459E6E" w:rsidR="00194AEB" w:rsidRPr="009E426D" w:rsidRDefault="00766CD7" w:rsidP="00D00416">
            <w:pPr>
              <w:widowControl w:val="0"/>
              <w:jc w:val="center"/>
            </w:pPr>
            <w:r>
              <w:t>M</w:t>
            </w:r>
            <w:r w:rsidR="00194AEB" w:rsidRPr="009E426D">
              <w:t>ax</w:t>
            </w:r>
          </w:p>
        </w:tc>
      </w:tr>
      <w:tr w:rsidR="00194AEB" w:rsidRPr="005C0389" w14:paraId="1953D560" w14:textId="77777777" w:rsidTr="00D00416">
        <w:trPr>
          <w:trHeight w:val="300"/>
          <w:jc w:val="center"/>
        </w:trPr>
        <w:tc>
          <w:tcPr>
            <w:tcW w:w="2989" w:type="dxa"/>
            <w:shd w:val="clear" w:color="auto" w:fill="B4C6E7" w:themeFill="accent1" w:themeFillTint="66"/>
            <w:noWrap/>
            <w:vAlign w:val="bottom"/>
          </w:tcPr>
          <w:p w14:paraId="1214591A" w14:textId="77777777" w:rsidR="00194AEB" w:rsidRPr="009E426D" w:rsidRDefault="00194AEB" w:rsidP="00D00416">
            <w:pPr>
              <w:widowControl w:val="0"/>
              <w:rPr>
                <w:bCs/>
              </w:rPr>
            </w:pPr>
            <w:r w:rsidRPr="009E426D">
              <w:rPr>
                <w:bCs/>
              </w:rPr>
              <w:t>ČR</w:t>
            </w:r>
          </w:p>
        </w:tc>
        <w:tc>
          <w:tcPr>
            <w:tcW w:w="839" w:type="dxa"/>
            <w:shd w:val="clear" w:color="auto" w:fill="auto"/>
            <w:noWrap/>
            <w:vAlign w:val="center"/>
          </w:tcPr>
          <w:p w14:paraId="31AAE7A1" w14:textId="77777777" w:rsidR="00194AEB" w:rsidRPr="009E426D" w:rsidRDefault="00194AEB" w:rsidP="00D00416">
            <w:pPr>
              <w:widowControl w:val="0"/>
              <w:jc w:val="center"/>
              <w:rPr>
                <w:bCs/>
              </w:rPr>
            </w:pPr>
            <w:r w:rsidRPr="009E426D">
              <w:rPr>
                <w:bCs/>
              </w:rPr>
              <w:t>7,1</w:t>
            </w:r>
          </w:p>
        </w:tc>
        <w:tc>
          <w:tcPr>
            <w:tcW w:w="851" w:type="dxa"/>
            <w:shd w:val="clear" w:color="auto" w:fill="auto"/>
            <w:noWrap/>
            <w:vAlign w:val="center"/>
          </w:tcPr>
          <w:p w14:paraId="0484D346" w14:textId="77777777" w:rsidR="00194AEB" w:rsidRPr="009E426D" w:rsidRDefault="00194AEB" w:rsidP="00D00416">
            <w:pPr>
              <w:widowControl w:val="0"/>
              <w:jc w:val="center"/>
              <w:rPr>
                <w:bCs/>
              </w:rPr>
            </w:pPr>
            <w:r w:rsidRPr="009E426D">
              <w:rPr>
                <w:bCs/>
              </w:rPr>
              <w:t>24,5</w:t>
            </w:r>
          </w:p>
        </w:tc>
        <w:tc>
          <w:tcPr>
            <w:tcW w:w="1701" w:type="dxa"/>
            <w:vAlign w:val="center"/>
          </w:tcPr>
          <w:p w14:paraId="76A9D85A" w14:textId="77777777" w:rsidR="00194AEB" w:rsidRPr="009E426D" w:rsidRDefault="00194AEB" w:rsidP="00D00416">
            <w:pPr>
              <w:widowControl w:val="0"/>
              <w:jc w:val="center"/>
              <w:rPr>
                <w:bCs/>
              </w:rPr>
            </w:pPr>
            <w:r w:rsidRPr="009E426D">
              <w:rPr>
                <w:bCs/>
              </w:rPr>
              <w:t>1,70</w:t>
            </w:r>
          </w:p>
        </w:tc>
        <w:tc>
          <w:tcPr>
            <w:tcW w:w="1559" w:type="dxa"/>
            <w:vAlign w:val="center"/>
          </w:tcPr>
          <w:p w14:paraId="6CDDF02D" w14:textId="77777777" w:rsidR="00194AEB" w:rsidRPr="009E426D" w:rsidRDefault="00194AEB" w:rsidP="00D00416">
            <w:pPr>
              <w:widowControl w:val="0"/>
              <w:jc w:val="center"/>
              <w:rPr>
                <w:bCs/>
              </w:rPr>
            </w:pPr>
            <w:r w:rsidRPr="009E426D">
              <w:rPr>
                <w:bCs/>
              </w:rPr>
              <w:t>15,6</w:t>
            </w:r>
          </w:p>
        </w:tc>
      </w:tr>
      <w:tr w:rsidR="00194AEB" w:rsidRPr="005C0389" w14:paraId="5F42F306" w14:textId="77777777" w:rsidTr="00D00416">
        <w:trPr>
          <w:trHeight w:val="300"/>
          <w:jc w:val="center"/>
        </w:trPr>
        <w:tc>
          <w:tcPr>
            <w:tcW w:w="2989" w:type="dxa"/>
            <w:shd w:val="clear" w:color="auto" w:fill="B4C6E7" w:themeFill="accent1" w:themeFillTint="66"/>
            <w:noWrap/>
            <w:vAlign w:val="bottom"/>
          </w:tcPr>
          <w:p w14:paraId="402D946C" w14:textId="77777777" w:rsidR="00194AEB" w:rsidRPr="009E426D" w:rsidRDefault="00194AEB" w:rsidP="00D00416">
            <w:pPr>
              <w:widowControl w:val="0"/>
              <w:rPr>
                <w:bCs/>
              </w:rPr>
            </w:pPr>
            <w:r w:rsidRPr="009E426D">
              <w:rPr>
                <w:bCs/>
              </w:rPr>
              <w:t>města celkem</w:t>
            </w:r>
          </w:p>
        </w:tc>
        <w:tc>
          <w:tcPr>
            <w:tcW w:w="839" w:type="dxa"/>
            <w:shd w:val="clear" w:color="auto" w:fill="auto"/>
            <w:noWrap/>
            <w:vAlign w:val="center"/>
          </w:tcPr>
          <w:p w14:paraId="2FA3D731" w14:textId="77777777" w:rsidR="00194AEB" w:rsidRPr="009E426D" w:rsidRDefault="00194AEB" w:rsidP="00D00416">
            <w:pPr>
              <w:widowControl w:val="0"/>
              <w:jc w:val="center"/>
              <w:rPr>
                <w:bCs/>
              </w:rPr>
            </w:pPr>
            <w:r w:rsidRPr="009E426D">
              <w:rPr>
                <w:bCs/>
              </w:rPr>
              <w:t>7,1</w:t>
            </w:r>
          </w:p>
        </w:tc>
        <w:tc>
          <w:tcPr>
            <w:tcW w:w="851" w:type="dxa"/>
            <w:shd w:val="clear" w:color="auto" w:fill="auto"/>
            <w:noWrap/>
            <w:vAlign w:val="center"/>
          </w:tcPr>
          <w:p w14:paraId="3B83321E" w14:textId="77777777" w:rsidR="00194AEB" w:rsidRPr="009E426D" w:rsidRDefault="00194AEB" w:rsidP="00D00416">
            <w:pPr>
              <w:widowControl w:val="0"/>
              <w:jc w:val="center"/>
              <w:rPr>
                <w:bCs/>
              </w:rPr>
            </w:pPr>
            <w:r w:rsidRPr="009E426D">
              <w:rPr>
                <w:bCs/>
              </w:rPr>
              <w:t>24,5</w:t>
            </w:r>
          </w:p>
        </w:tc>
        <w:tc>
          <w:tcPr>
            <w:tcW w:w="1701" w:type="dxa"/>
            <w:vAlign w:val="center"/>
          </w:tcPr>
          <w:p w14:paraId="33266F08" w14:textId="77777777" w:rsidR="00194AEB" w:rsidRPr="009E426D" w:rsidRDefault="00194AEB" w:rsidP="00D00416">
            <w:pPr>
              <w:widowControl w:val="0"/>
              <w:jc w:val="center"/>
              <w:rPr>
                <w:bCs/>
              </w:rPr>
            </w:pPr>
            <w:r w:rsidRPr="009E426D">
              <w:rPr>
                <w:bCs/>
              </w:rPr>
              <w:t>1,70</w:t>
            </w:r>
          </w:p>
        </w:tc>
        <w:tc>
          <w:tcPr>
            <w:tcW w:w="1559" w:type="dxa"/>
            <w:vAlign w:val="center"/>
          </w:tcPr>
          <w:p w14:paraId="647E6058" w14:textId="77777777" w:rsidR="00194AEB" w:rsidRPr="009E426D" w:rsidRDefault="00194AEB" w:rsidP="00D00416">
            <w:pPr>
              <w:widowControl w:val="0"/>
              <w:jc w:val="center"/>
              <w:rPr>
                <w:bCs/>
              </w:rPr>
            </w:pPr>
            <w:r w:rsidRPr="009E426D">
              <w:rPr>
                <w:bCs/>
              </w:rPr>
              <w:t>15,6</w:t>
            </w:r>
          </w:p>
        </w:tc>
      </w:tr>
      <w:tr w:rsidR="00194AEB" w:rsidRPr="005C0389" w14:paraId="68FF47A0" w14:textId="77777777" w:rsidTr="00D00416">
        <w:trPr>
          <w:trHeight w:val="300"/>
          <w:jc w:val="center"/>
        </w:trPr>
        <w:tc>
          <w:tcPr>
            <w:tcW w:w="2989" w:type="dxa"/>
            <w:shd w:val="clear" w:color="auto" w:fill="B4C6E7" w:themeFill="accent1" w:themeFillTint="66"/>
            <w:noWrap/>
            <w:vAlign w:val="bottom"/>
          </w:tcPr>
          <w:p w14:paraId="26720BF7" w14:textId="77777777" w:rsidR="00194AEB" w:rsidRPr="009E426D" w:rsidRDefault="00194AEB" w:rsidP="00D00416">
            <w:pPr>
              <w:widowControl w:val="0"/>
              <w:jc w:val="right"/>
              <w:rPr>
                <w:bCs/>
              </w:rPr>
            </w:pPr>
            <w:r w:rsidRPr="009E426D">
              <w:rPr>
                <w:bCs/>
              </w:rPr>
              <w:t>lokality bez dopravní zátěže</w:t>
            </w:r>
          </w:p>
        </w:tc>
        <w:tc>
          <w:tcPr>
            <w:tcW w:w="839" w:type="dxa"/>
            <w:shd w:val="clear" w:color="auto" w:fill="auto"/>
            <w:noWrap/>
            <w:vAlign w:val="center"/>
          </w:tcPr>
          <w:p w14:paraId="0041D3F5" w14:textId="77777777" w:rsidR="00194AEB" w:rsidRPr="009E426D" w:rsidRDefault="00194AEB" w:rsidP="00D00416">
            <w:pPr>
              <w:widowControl w:val="0"/>
              <w:jc w:val="center"/>
              <w:rPr>
                <w:bCs/>
              </w:rPr>
            </w:pPr>
            <w:r w:rsidRPr="009E426D">
              <w:rPr>
                <w:bCs/>
              </w:rPr>
              <w:t>7,1</w:t>
            </w:r>
          </w:p>
        </w:tc>
        <w:tc>
          <w:tcPr>
            <w:tcW w:w="851" w:type="dxa"/>
            <w:shd w:val="clear" w:color="auto" w:fill="auto"/>
            <w:noWrap/>
            <w:vAlign w:val="center"/>
          </w:tcPr>
          <w:p w14:paraId="786D0D95" w14:textId="77777777" w:rsidR="00194AEB" w:rsidRPr="009E426D" w:rsidRDefault="00194AEB" w:rsidP="00D00416">
            <w:pPr>
              <w:widowControl w:val="0"/>
              <w:jc w:val="center"/>
              <w:rPr>
                <w:bCs/>
              </w:rPr>
            </w:pPr>
            <w:r w:rsidRPr="009E426D">
              <w:rPr>
                <w:bCs/>
              </w:rPr>
              <w:t>17,5</w:t>
            </w:r>
          </w:p>
        </w:tc>
        <w:tc>
          <w:tcPr>
            <w:tcW w:w="1701" w:type="dxa"/>
            <w:vAlign w:val="center"/>
          </w:tcPr>
          <w:p w14:paraId="0AAEF416" w14:textId="77777777" w:rsidR="00194AEB" w:rsidRPr="009E426D" w:rsidRDefault="00194AEB" w:rsidP="00D00416">
            <w:pPr>
              <w:widowControl w:val="0"/>
              <w:jc w:val="center"/>
              <w:rPr>
                <w:bCs/>
              </w:rPr>
            </w:pPr>
            <w:r w:rsidRPr="009E426D">
              <w:rPr>
                <w:bCs/>
              </w:rPr>
              <w:t>1,70</w:t>
            </w:r>
          </w:p>
        </w:tc>
        <w:tc>
          <w:tcPr>
            <w:tcW w:w="1559" w:type="dxa"/>
            <w:vAlign w:val="center"/>
          </w:tcPr>
          <w:p w14:paraId="74D6A184" w14:textId="77777777" w:rsidR="00194AEB" w:rsidRPr="009E426D" w:rsidRDefault="00194AEB" w:rsidP="00D00416">
            <w:pPr>
              <w:widowControl w:val="0"/>
              <w:jc w:val="center"/>
              <w:rPr>
                <w:bCs/>
              </w:rPr>
            </w:pPr>
            <w:r w:rsidRPr="009E426D">
              <w:rPr>
                <w:bCs/>
              </w:rPr>
              <w:t>10,0</w:t>
            </w:r>
          </w:p>
        </w:tc>
      </w:tr>
      <w:tr w:rsidR="00194AEB" w:rsidRPr="005C0389" w14:paraId="00660E41" w14:textId="77777777" w:rsidTr="00D00416">
        <w:trPr>
          <w:trHeight w:val="300"/>
          <w:jc w:val="center"/>
        </w:trPr>
        <w:tc>
          <w:tcPr>
            <w:tcW w:w="2989" w:type="dxa"/>
            <w:shd w:val="clear" w:color="auto" w:fill="B4C6E7" w:themeFill="accent1" w:themeFillTint="66"/>
            <w:noWrap/>
            <w:vAlign w:val="bottom"/>
          </w:tcPr>
          <w:p w14:paraId="246BBCF0" w14:textId="77777777" w:rsidR="00194AEB" w:rsidRPr="009E426D" w:rsidRDefault="00194AEB" w:rsidP="00D00416">
            <w:pPr>
              <w:widowControl w:val="0"/>
              <w:jc w:val="right"/>
              <w:rPr>
                <w:bCs/>
              </w:rPr>
            </w:pPr>
            <w:r w:rsidRPr="009E426D">
              <w:rPr>
                <w:bCs/>
              </w:rPr>
              <w:t>lokality s dopravní zátěží</w:t>
            </w:r>
          </w:p>
        </w:tc>
        <w:tc>
          <w:tcPr>
            <w:tcW w:w="839" w:type="dxa"/>
            <w:shd w:val="clear" w:color="auto" w:fill="auto"/>
            <w:noWrap/>
            <w:vAlign w:val="center"/>
          </w:tcPr>
          <w:p w14:paraId="543C07AC" w14:textId="77777777" w:rsidR="00194AEB" w:rsidRPr="009E426D" w:rsidRDefault="00194AEB" w:rsidP="00D00416">
            <w:pPr>
              <w:widowControl w:val="0"/>
              <w:jc w:val="center"/>
              <w:rPr>
                <w:bCs/>
              </w:rPr>
            </w:pPr>
            <w:r w:rsidRPr="009E426D">
              <w:rPr>
                <w:bCs/>
              </w:rPr>
              <w:t>10,2</w:t>
            </w:r>
          </w:p>
        </w:tc>
        <w:tc>
          <w:tcPr>
            <w:tcW w:w="851" w:type="dxa"/>
            <w:shd w:val="clear" w:color="auto" w:fill="auto"/>
            <w:noWrap/>
            <w:vAlign w:val="center"/>
          </w:tcPr>
          <w:p w14:paraId="1DFF2C13" w14:textId="77777777" w:rsidR="00194AEB" w:rsidRPr="009E426D" w:rsidRDefault="00194AEB" w:rsidP="00D00416">
            <w:pPr>
              <w:widowControl w:val="0"/>
              <w:jc w:val="center"/>
              <w:rPr>
                <w:bCs/>
              </w:rPr>
            </w:pPr>
            <w:r w:rsidRPr="009E426D">
              <w:rPr>
                <w:bCs/>
              </w:rPr>
              <w:t>20,4</w:t>
            </w:r>
          </w:p>
        </w:tc>
        <w:tc>
          <w:tcPr>
            <w:tcW w:w="1701" w:type="dxa"/>
            <w:vAlign w:val="center"/>
          </w:tcPr>
          <w:p w14:paraId="614A9F87" w14:textId="77777777" w:rsidR="00194AEB" w:rsidRPr="009E426D" w:rsidRDefault="00194AEB" w:rsidP="00D00416">
            <w:pPr>
              <w:widowControl w:val="0"/>
              <w:jc w:val="center"/>
              <w:rPr>
                <w:bCs/>
              </w:rPr>
            </w:pPr>
            <w:r w:rsidRPr="009E426D">
              <w:rPr>
                <w:bCs/>
              </w:rPr>
              <w:t>4,16</w:t>
            </w:r>
          </w:p>
        </w:tc>
        <w:tc>
          <w:tcPr>
            <w:tcW w:w="1559" w:type="dxa"/>
            <w:vAlign w:val="center"/>
          </w:tcPr>
          <w:p w14:paraId="06D6FAF4" w14:textId="77777777" w:rsidR="00194AEB" w:rsidRPr="009E426D" w:rsidRDefault="00194AEB" w:rsidP="00D00416">
            <w:pPr>
              <w:widowControl w:val="0"/>
              <w:jc w:val="center"/>
              <w:rPr>
                <w:bCs/>
              </w:rPr>
            </w:pPr>
            <w:r w:rsidRPr="009E426D">
              <w:rPr>
                <w:bCs/>
              </w:rPr>
              <w:t>12,3</w:t>
            </w:r>
          </w:p>
        </w:tc>
      </w:tr>
      <w:tr w:rsidR="00194AEB" w:rsidRPr="005C0389" w14:paraId="0B12E7F8" w14:textId="77777777" w:rsidTr="00D00416">
        <w:trPr>
          <w:trHeight w:val="300"/>
          <w:jc w:val="center"/>
        </w:trPr>
        <w:tc>
          <w:tcPr>
            <w:tcW w:w="2989" w:type="dxa"/>
            <w:shd w:val="clear" w:color="auto" w:fill="B4C6E7" w:themeFill="accent1" w:themeFillTint="66"/>
            <w:noWrap/>
            <w:vAlign w:val="center"/>
          </w:tcPr>
          <w:p w14:paraId="663D7C26" w14:textId="77777777" w:rsidR="00194AEB" w:rsidRPr="009E426D" w:rsidRDefault="00194AEB" w:rsidP="00D00416">
            <w:pPr>
              <w:widowControl w:val="0"/>
              <w:jc w:val="right"/>
              <w:rPr>
                <w:bCs/>
              </w:rPr>
            </w:pPr>
            <w:r w:rsidRPr="009E426D">
              <w:rPr>
                <w:bCs/>
              </w:rPr>
              <w:t>průmyslové lokality</w:t>
            </w:r>
          </w:p>
        </w:tc>
        <w:tc>
          <w:tcPr>
            <w:tcW w:w="839" w:type="dxa"/>
            <w:shd w:val="clear" w:color="auto" w:fill="auto"/>
            <w:noWrap/>
            <w:vAlign w:val="center"/>
          </w:tcPr>
          <w:p w14:paraId="5FD0A1E9" w14:textId="77777777" w:rsidR="00194AEB" w:rsidRPr="009E426D" w:rsidRDefault="00194AEB" w:rsidP="00D00416">
            <w:pPr>
              <w:widowControl w:val="0"/>
              <w:jc w:val="center"/>
              <w:rPr>
                <w:bCs/>
              </w:rPr>
            </w:pPr>
            <w:r w:rsidRPr="009E426D">
              <w:rPr>
                <w:bCs/>
              </w:rPr>
              <w:t>12,4</w:t>
            </w:r>
          </w:p>
        </w:tc>
        <w:tc>
          <w:tcPr>
            <w:tcW w:w="851" w:type="dxa"/>
            <w:shd w:val="clear" w:color="auto" w:fill="auto"/>
            <w:noWrap/>
            <w:vAlign w:val="center"/>
          </w:tcPr>
          <w:p w14:paraId="61E04348" w14:textId="77777777" w:rsidR="00194AEB" w:rsidRPr="009E426D" w:rsidRDefault="00194AEB" w:rsidP="00D00416">
            <w:pPr>
              <w:widowControl w:val="0"/>
              <w:jc w:val="center"/>
              <w:rPr>
                <w:bCs/>
              </w:rPr>
            </w:pPr>
            <w:r w:rsidRPr="009E426D">
              <w:rPr>
                <w:bCs/>
              </w:rPr>
              <w:t>24,5</w:t>
            </w:r>
          </w:p>
        </w:tc>
        <w:tc>
          <w:tcPr>
            <w:tcW w:w="1701" w:type="dxa"/>
            <w:vAlign w:val="center"/>
          </w:tcPr>
          <w:p w14:paraId="7382009D" w14:textId="77777777" w:rsidR="00194AEB" w:rsidRPr="009E426D" w:rsidRDefault="00194AEB" w:rsidP="00D00416">
            <w:pPr>
              <w:widowControl w:val="0"/>
              <w:jc w:val="center"/>
              <w:rPr>
                <w:bCs/>
                <w:color w:val="FF0000"/>
              </w:rPr>
            </w:pPr>
            <w:r w:rsidRPr="009E426D">
              <w:rPr>
                <w:bCs/>
              </w:rPr>
              <w:t>5,92</w:t>
            </w:r>
          </w:p>
        </w:tc>
        <w:tc>
          <w:tcPr>
            <w:tcW w:w="1559" w:type="dxa"/>
            <w:vAlign w:val="center"/>
          </w:tcPr>
          <w:p w14:paraId="5D5E709C" w14:textId="77777777" w:rsidR="00194AEB" w:rsidRPr="009E426D" w:rsidRDefault="00194AEB" w:rsidP="00D00416">
            <w:pPr>
              <w:widowControl w:val="0"/>
              <w:jc w:val="center"/>
              <w:rPr>
                <w:bCs/>
                <w:color w:val="FF0000"/>
              </w:rPr>
            </w:pPr>
            <w:r w:rsidRPr="009E426D">
              <w:rPr>
                <w:bCs/>
              </w:rPr>
              <w:t>15,6</w:t>
            </w:r>
          </w:p>
        </w:tc>
      </w:tr>
    </w:tbl>
    <w:p w14:paraId="7BA19B04" w14:textId="007DE9FC" w:rsidR="00552610" w:rsidRDefault="00552610" w:rsidP="00552610">
      <w:pPr>
        <w:pStyle w:val="DefaultText1"/>
        <w:spacing w:before="120" w:line="276" w:lineRule="auto"/>
        <w:ind w:left="357"/>
        <w:jc w:val="both"/>
        <w:rPr>
          <w:rFonts w:ascii="Mulish" w:hAnsi="Mulish"/>
          <w:color w:val="000000" w:themeColor="text1"/>
          <w:sz w:val="22"/>
          <w:szCs w:val="22"/>
        </w:rPr>
      </w:pPr>
      <w:r w:rsidRPr="009E426D">
        <w:rPr>
          <w:rFonts w:ascii="Mulish" w:hAnsi="Mulish"/>
          <w:noProof/>
          <w:color w:val="000000" w:themeColor="text1"/>
          <w:sz w:val="22"/>
          <w:szCs w:val="22"/>
        </w:rPr>
        <w:drawing>
          <wp:anchor distT="0" distB="0" distL="114300" distR="114300" simplePos="0" relativeHeight="251668480" behindDoc="0" locked="0" layoutInCell="1" allowOverlap="0" wp14:anchorId="600162BE" wp14:editId="495D5B86">
            <wp:simplePos x="0" y="0"/>
            <wp:positionH relativeFrom="column">
              <wp:posOffset>328295</wp:posOffset>
            </wp:positionH>
            <wp:positionV relativeFrom="page">
              <wp:posOffset>5010150</wp:posOffset>
            </wp:positionV>
            <wp:extent cx="5580000" cy="2106000"/>
            <wp:effectExtent l="0" t="0" r="1905" b="8890"/>
            <wp:wrapTopAndBottom/>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2106000"/>
                    </a:xfrm>
                    <a:prstGeom prst="rect">
                      <a:avLst/>
                    </a:prstGeom>
                    <a:noFill/>
                  </pic:spPr>
                </pic:pic>
              </a:graphicData>
            </a:graphic>
            <wp14:sizeRelH relativeFrom="margin">
              <wp14:pctWidth>0</wp14:pctWidth>
            </wp14:sizeRelH>
            <wp14:sizeRelV relativeFrom="margin">
              <wp14:pctHeight>0</wp14:pctHeight>
            </wp14:sizeRelV>
          </wp:anchor>
        </w:drawing>
      </w:r>
      <w:r w:rsidRPr="009E426D">
        <w:rPr>
          <w:rFonts w:ascii="Mulish" w:hAnsi="Mulish"/>
          <w:color w:val="000000" w:themeColor="text1"/>
          <w:sz w:val="22"/>
          <w:szCs w:val="22"/>
        </w:rPr>
        <w:t>Rozpětí koncentrací charakterizující míru znečištění suspendovanými částicemi frakce PM</w:t>
      </w:r>
      <w:r w:rsidRPr="009E426D">
        <w:rPr>
          <w:rFonts w:ascii="Mulish" w:hAnsi="Mulish"/>
          <w:color w:val="000000" w:themeColor="text1"/>
          <w:sz w:val="22"/>
          <w:szCs w:val="22"/>
          <w:vertAlign w:val="subscript"/>
        </w:rPr>
        <w:t>2,5</w:t>
      </w:r>
      <w:r w:rsidRPr="009E426D">
        <w:rPr>
          <w:rFonts w:ascii="Mulish" w:hAnsi="Mulish"/>
          <w:color w:val="000000" w:themeColor="text1"/>
          <w:sz w:val="22"/>
          <w:szCs w:val="22"/>
        </w:rPr>
        <w:t xml:space="preserve"> v různých typech lokalit popisuje graf č. 3.</w:t>
      </w:r>
    </w:p>
    <w:p w14:paraId="30A108CC" w14:textId="5EDA871A" w:rsidR="00830024" w:rsidRPr="009E426D" w:rsidRDefault="00830024" w:rsidP="009E426D">
      <w:pPr>
        <w:pStyle w:val="Odstavecseseznamem"/>
        <w:spacing w:before="120" w:line="276" w:lineRule="auto"/>
        <w:ind w:left="357"/>
        <w:jc w:val="both"/>
        <w:rPr>
          <w:rFonts w:ascii="Mulish" w:hAnsi="Mulish"/>
          <w:color w:val="000000" w:themeColor="text1"/>
          <w:sz w:val="22"/>
          <w:szCs w:val="22"/>
          <w14:shadow w14:blurRad="0" w14:dist="0" w14:dir="0" w14:sx="0" w14:sy="0" w14:kx="0" w14:ky="0" w14:algn="none">
            <w14:srgbClr w14:val="000000"/>
          </w14:shadow>
        </w:rPr>
      </w:pPr>
      <w:r w:rsidRPr="009E426D">
        <w:rPr>
          <w:rFonts w:ascii="Mulish" w:hAnsi="Mulish"/>
          <w:color w:val="000000" w:themeColor="text1"/>
          <w:sz w:val="22"/>
          <w:szCs w:val="22"/>
          <w14:shadow w14:blurRad="0" w14:dist="0" w14:dir="0" w14:sx="0" w14:sy="0" w14:kx="0" w14:ky="0" w14:algn="none">
            <w14:srgbClr w14:val="000000"/>
          </w14:shadow>
        </w:rPr>
        <w:t>Graf č. 3. 2022 - Rozpětí ročních průměrů PM</w:t>
      </w:r>
      <w:r w:rsidRPr="009E426D">
        <w:rPr>
          <w:rFonts w:ascii="Mulish" w:hAnsi="Mulish"/>
          <w:color w:val="000000" w:themeColor="text1"/>
          <w:sz w:val="22"/>
          <w:szCs w:val="22"/>
          <w:vertAlign w:val="subscript"/>
          <w14:shadow w14:blurRad="0" w14:dist="0" w14:dir="0" w14:sx="0" w14:sy="0" w14:kx="0" w14:ky="0" w14:algn="none">
            <w14:srgbClr w14:val="000000"/>
          </w14:shadow>
        </w:rPr>
        <w:t>2,5</w:t>
      </w:r>
      <w:r w:rsidRPr="009E426D">
        <w:rPr>
          <w:rFonts w:ascii="Mulish" w:hAnsi="Mulish"/>
          <w:color w:val="000000" w:themeColor="text1"/>
          <w:sz w:val="22"/>
          <w:szCs w:val="22"/>
          <w14:shadow w14:blurRad="0" w14:dist="0" w14:dir="0" w14:sx="0" w14:sy="0" w14:kx="0" w14:ky="0" w14:algn="none">
            <w14:srgbClr w14:val="000000"/>
          </w14:shadow>
        </w:rPr>
        <w:t xml:space="preserve"> v ČR a v jednotlivých typech městských lokalit</w:t>
      </w:r>
    </w:p>
    <w:p w14:paraId="2CDB409E" w14:textId="43CDF603" w:rsidR="00830024" w:rsidRPr="009E426D" w:rsidRDefault="00830024" w:rsidP="009E426D">
      <w:pPr>
        <w:pStyle w:val="Odstavecseseznamem"/>
        <w:widowControl w:val="0"/>
        <w:spacing w:line="276" w:lineRule="auto"/>
        <w:ind w:left="357"/>
        <w:jc w:val="both"/>
        <w:rPr>
          <w:rFonts w:ascii="Mulish" w:hAnsi="Mulish"/>
          <w:i/>
          <w:color w:val="000000" w:themeColor="text1"/>
          <w14:shadow w14:blurRad="0" w14:dist="0" w14:dir="0" w14:sx="0" w14:sy="0" w14:kx="0" w14:ky="0" w14:algn="none">
            <w14:srgbClr w14:val="000000"/>
          </w14:shadow>
        </w:rPr>
      </w:pPr>
      <w:r w:rsidRPr="009E426D">
        <w:rPr>
          <w:rFonts w:ascii="Mulish" w:hAnsi="Mulish"/>
          <w:i/>
          <w:color w:val="000000" w:themeColor="text1"/>
          <w14:shadow w14:blurRad="0" w14:dist="0" w14:dir="0" w14:sx="0" w14:sy="0" w14:kx="0" w14:ky="0" w14:algn="none">
            <w14:srgbClr w14:val="000000"/>
          </w14:shadow>
        </w:rPr>
        <w:t>Pozn: Maximální městská hodnota ročního průměru frakce PM</w:t>
      </w:r>
      <w:r w:rsidRPr="009E426D">
        <w:rPr>
          <w:rFonts w:ascii="Mulish" w:hAnsi="Mulish"/>
          <w:i/>
          <w:color w:val="000000" w:themeColor="text1"/>
          <w:vertAlign w:val="subscript"/>
          <w14:shadow w14:blurRad="0" w14:dist="0" w14:dir="0" w14:sx="0" w14:sy="0" w14:kx="0" w14:ky="0" w14:algn="none">
            <w14:srgbClr w14:val="000000"/>
          </w14:shadow>
        </w:rPr>
        <w:t>2,5</w:t>
      </w:r>
      <w:r w:rsidRPr="009E426D">
        <w:rPr>
          <w:rFonts w:ascii="Mulish" w:hAnsi="Mulish"/>
          <w:i/>
          <w:color w:val="000000" w:themeColor="text1"/>
          <w14:shadow w14:blurRad="0" w14:dist="0" w14:dir="0" w14:sx="0" w14:sy="0" w14:kx="0" w14:ky="0" w14:algn="none">
            <w14:srgbClr w14:val="000000"/>
          </w14:shadow>
        </w:rPr>
        <w:t xml:space="preserve"> byla naměřena na stanici TORE (Radvanice) – 24,5 µg/m</w:t>
      </w:r>
      <w:r w:rsidRPr="009E426D">
        <w:rPr>
          <w:rFonts w:ascii="Mulish" w:hAnsi="Mulish"/>
          <w:i/>
          <w:color w:val="000000" w:themeColor="text1"/>
          <w:vertAlign w:val="superscript"/>
          <w14:shadow w14:blurRad="0" w14:dist="0" w14:dir="0" w14:sx="0" w14:sy="0" w14:kx="0" w14:ky="0" w14:algn="none">
            <w14:srgbClr w14:val="000000"/>
          </w14:shadow>
        </w:rPr>
        <w:t>3</w:t>
      </w:r>
      <w:r w:rsidRPr="009E426D">
        <w:rPr>
          <w:rFonts w:ascii="Mulish" w:hAnsi="Mulish"/>
          <w:i/>
          <w:color w:val="000000" w:themeColor="text1"/>
          <w14:shadow w14:blurRad="0" w14:dist="0" w14:dir="0" w14:sx="0" w14:sy="0" w14:kx="0" w14:ky="0" w14:algn="none">
            <w14:srgbClr w14:val="000000"/>
          </w14:shadow>
        </w:rPr>
        <w:t>/rok.</w:t>
      </w:r>
    </w:p>
    <w:p w14:paraId="26C03CF2" w14:textId="77777777" w:rsidR="00552610" w:rsidRDefault="00830024" w:rsidP="009E426D">
      <w:pPr>
        <w:pStyle w:val="DefaultText1"/>
        <w:spacing w:before="120" w:line="276" w:lineRule="auto"/>
        <w:ind w:left="357"/>
        <w:jc w:val="both"/>
        <w:rPr>
          <w:rFonts w:ascii="Mulish" w:hAnsi="Mulish"/>
          <w:color w:val="000000" w:themeColor="text1"/>
          <w:sz w:val="22"/>
          <w:szCs w:val="22"/>
        </w:rPr>
      </w:pPr>
      <w:r w:rsidRPr="009E426D">
        <w:rPr>
          <w:rFonts w:ascii="Mulish" w:hAnsi="Mulish"/>
          <w:color w:val="000000" w:themeColor="text1"/>
          <w:sz w:val="22"/>
          <w:szCs w:val="22"/>
        </w:rPr>
        <w:t>Pro roční průměrnou koncentraci PM</w:t>
      </w:r>
      <w:r w:rsidRPr="009E426D">
        <w:rPr>
          <w:rFonts w:ascii="Mulish" w:hAnsi="Mulish"/>
          <w:color w:val="000000" w:themeColor="text1"/>
          <w:sz w:val="22"/>
          <w:szCs w:val="22"/>
          <w:vertAlign w:val="subscript"/>
        </w:rPr>
        <w:t>2,5</w:t>
      </w:r>
      <w:r w:rsidRPr="009E426D">
        <w:rPr>
          <w:rFonts w:ascii="Mulish" w:hAnsi="Mulish"/>
          <w:color w:val="000000" w:themeColor="text1"/>
          <w:sz w:val="22"/>
          <w:szCs w:val="22"/>
        </w:rPr>
        <w:t xml:space="preserve"> je v Globálních pokynech WHO (2021) pro kvalitu ovzduší v Evropě uvedena doporučená </w:t>
      </w:r>
      <w:r w:rsidRPr="009E426D">
        <w:rPr>
          <w:rFonts w:ascii="Mulish" w:hAnsi="Mulish"/>
          <w:b/>
          <w:color w:val="000000" w:themeColor="text1"/>
          <w:sz w:val="22"/>
          <w:szCs w:val="22"/>
        </w:rPr>
        <w:t>roční</w:t>
      </w:r>
      <w:r w:rsidRPr="009E426D">
        <w:rPr>
          <w:rFonts w:ascii="Mulish" w:hAnsi="Mulish"/>
          <w:color w:val="000000" w:themeColor="text1"/>
          <w:sz w:val="22"/>
          <w:szCs w:val="22"/>
        </w:rPr>
        <w:t xml:space="preserve"> cílová hodnota AQG 5 µg/m</w:t>
      </w:r>
      <w:r w:rsidRPr="009E426D">
        <w:rPr>
          <w:rFonts w:ascii="Mulish" w:hAnsi="Mulish"/>
          <w:color w:val="000000" w:themeColor="text1"/>
          <w:sz w:val="22"/>
          <w:szCs w:val="22"/>
          <w:vertAlign w:val="superscript"/>
        </w:rPr>
        <w:t>3</w:t>
      </w:r>
      <w:r w:rsidRPr="009E426D">
        <w:rPr>
          <w:rFonts w:ascii="Mulish" w:hAnsi="Mulish"/>
          <w:color w:val="000000" w:themeColor="text1"/>
          <w:sz w:val="22"/>
          <w:szCs w:val="22"/>
        </w:rPr>
        <w:t xml:space="preserve">. Jako </w:t>
      </w:r>
      <w:r w:rsidRPr="009E426D">
        <w:rPr>
          <w:rFonts w:ascii="Mulish" w:hAnsi="Mulish"/>
          <w:b/>
          <w:color w:val="000000" w:themeColor="text1"/>
          <w:sz w:val="22"/>
          <w:szCs w:val="22"/>
        </w:rPr>
        <w:t>24hodinová</w:t>
      </w:r>
      <w:r w:rsidRPr="009E426D">
        <w:rPr>
          <w:rFonts w:ascii="Mulish" w:hAnsi="Mulish"/>
          <w:color w:val="000000" w:themeColor="text1"/>
          <w:sz w:val="22"/>
          <w:szCs w:val="22"/>
        </w:rPr>
        <w:t xml:space="preserve"> cílová doporučená hodnota je v Globálních pokynech WHO uvedeno 15 µg/m</w:t>
      </w:r>
      <w:r w:rsidRPr="009E426D">
        <w:rPr>
          <w:rFonts w:ascii="Mulish" w:hAnsi="Mulish"/>
          <w:color w:val="000000" w:themeColor="text1"/>
          <w:sz w:val="22"/>
          <w:szCs w:val="22"/>
          <w:vertAlign w:val="superscript"/>
        </w:rPr>
        <w:t>3</w:t>
      </w:r>
      <w:r w:rsidRPr="009E426D">
        <w:rPr>
          <w:rFonts w:ascii="Mulish" w:hAnsi="Mulish"/>
          <w:color w:val="000000" w:themeColor="text1"/>
          <w:sz w:val="22"/>
          <w:szCs w:val="22"/>
        </w:rPr>
        <w:t xml:space="preserve"> pro frakci PM</w:t>
      </w:r>
      <w:r w:rsidRPr="009E426D">
        <w:rPr>
          <w:rFonts w:ascii="Mulish" w:hAnsi="Mulish"/>
          <w:color w:val="000000" w:themeColor="text1"/>
          <w:sz w:val="22"/>
          <w:szCs w:val="22"/>
          <w:vertAlign w:val="subscript"/>
        </w:rPr>
        <w:t>2,5</w:t>
      </w:r>
      <w:r w:rsidRPr="009E426D">
        <w:rPr>
          <w:rFonts w:ascii="Mulish" w:hAnsi="Mulish"/>
          <w:color w:val="000000" w:themeColor="text1"/>
          <w:sz w:val="22"/>
          <w:szCs w:val="22"/>
        </w:rPr>
        <w:t xml:space="preserve">. </w:t>
      </w:r>
    </w:p>
    <w:p w14:paraId="5E885C77" w14:textId="77777777" w:rsidR="00552610" w:rsidRDefault="00552610" w:rsidP="009E426D">
      <w:pPr>
        <w:pStyle w:val="DefaultText1"/>
        <w:spacing w:before="120" w:line="276" w:lineRule="auto"/>
        <w:ind w:left="357"/>
        <w:jc w:val="both"/>
        <w:rPr>
          <w:rFonts w:ascii="Mulish" w:hAnsi="Mulish"/>
          <w:color w:val="000000" w:themeColor="text1"/>
          <w:sz w:val="22"/>
          <w:szCs w:val="22"/>
        </w:rPr>
      </w:pPr>
    </w:p>
    <w:p w14:paraId="0B95D9F0" w14:textId="77777777" w:rsidR="00552610" w:rsidRDefault="00552610" w:rsidP="009E426D">
      <w:pPr>
        <w:pStyle w:val="DefaultText1"/>
        <w:spacing w:before="120" w:line="276" w:lineRule="auto"/>
        <w:ind w:left="357"/>
        <w:jc w:val="both"/>
        <w:rPr>
          <w:rFonts w:ascii="Mulish" w:hAnsi="Mulish"/>
          <w:color w:val="000000" w:themeColor="text1"/>
          <w:sz w:val="22"/>
          <w:szCs w:val="22"/>
        </w:rPr>
      </w:pPr>
    </w:p>
    <w:p w14:paraId="724AC450" w14:textId="3050172D" w:rsidR="00830024" w:rsidRPr="009E426D" w:rsidRDefault="00830024" w:rsidP="009E426D">
      <w:pPr>
        <w:pStyle w:val="DefaultText1"/>
        <w:spacing w:before="120" w:line="276" w:lineRule="auto"/>
        <w:ind w:left="357"/>
        <w:jc w:val="both"/>
        <w:rPr>
          <w:rFonts w:ascii="Mulish" w:hAnsi="Mulish"/>
          <w:color w:val="000000" w:themeColor="text1"/>
          <w:sz w:val="22"/>
          <w:szCs w:val="22"/>
        </w:rPr>
      </w:pPr>
      <w:r w:rsidRPr="009E426D">
        <w:rPr>
          <w:rFonts w:ascii="Mulish" w:hAnsi="Mulish"/>
          <w:color w:val="000000" w:themeColor="text1"/>
          <w:sz w:val="22"/>
          <w:szCs w:val="22"/>
        </w:rPr>
        <w:lastRenderedPageBreak/>
        <w:t>Pak:</w:t>
      </w:r>
    </w:p>
    <w:p w14:paraId="395A25E0" w14:textId="2BAF7695" w:rsidR="00830024" w:rsidRPr="009E426D" w:rsidRDefault="00830024" w:rsidP="009E426D">
      <w:pPr>
        <w:pStyle w:val="DefaultText1"/>
        <w:numPr>
          <w:ilvl w:val="0"/>
          <w:numId w:val="31"/>
        </w:numPr>
        <w:spacing w:before="120" w:line="276" w:lineRule="auto"/>
        <w:ind w:left="720"/>
        <w:jc w:val="both"/>
        <w:rPr>
          <w:rFonts w:ascii="Mulish" w:hAnsi="Mulish"/>
          <w:color w:val="000000" w:themeColor="text1"/>
          <w:sz w:val="22"/>
          <w:szCs w:val="22"/>
        </w:rPr>
      </w:pPr>
      <w:r w:rsidRPr="009E426D">
        <w:rPr>
          <w:rFonts w:ascii="Mulish" w:hAnsi="Mulish"/>
          <w:color w:val="000000" w:themeColor="text1"/>
          <w:sz w:val="22"/>
          <w:szCs w:val="22"/>
        </w:rPr>
        <w:t>U frakce PM</w:t>
      </w:r>
      <w:r w:rsidRPr="009E426D">
        <w:rPr>
          <w:rFonts w:ascii="Mulish" w:hAnsi="Mulish"/>
          <w:color w:val="000000" w:themeColor="text1"/>
          <w:sz w:val="22"/>
          <w:szCs w:val="22"/>
          <w:vertAlign w:val="subscript"/>
        </w:rPr>
        <w:t>2,5</w:t>
      </w:r>
      <w:r w:rsidRPr="009E426D">
        <w:rPr>
          <w:rFonts w:ascii="Mulish" w:hAnsi="Mulish"/>
          <w:color w:val="000000" w:themeColor="text1"/>
          <w:sz w:val="22"/>
          <w:szCs w:val="22"/>
        </w:rPr>
        <w:t xml:space="preserve"> - roční cílová hodnota AQG WHO – 5 µg/m</w:t>
      </w:r>
      <w:r w:rsidRPr="009E426D">
        <w:rPr>
          <w:rFonts w:ascii="Mulish" w:hAnsi="Mulish"/>
          <w:color w:val="000000" w:themeColor="text1"/>
          <w:sz w:val="22"/>
          <w:szCs w:val="22"/>
          <w:vertAlign w:val="superscript"/>
        </w:rPr>
        <w:t>3</w:t>
      </w:r>
      <w:r w:rsidRPr="009E426D">
        <w:rPr>
          <w:rFonts w:ascii="Mulish" w:hAnsi="Mulish"/>
          <w:color w:val="000000" w:themeColor="text1"/>
          <w:sz w:val="22"/>
          <w:szCs w:val="22"/>
        </w:rPr>
        <w:t xml:space="preserve"> byla v roce 2022 překročena na všech městských stanicích; na 12 z nich nebylo překročeno 10 µg/m</w:t>
      </w:r>
      <w:r w:rsidRPr="009E426D">
        <w:rPr>
          <w:rFonts w:ascii="Mulish" w:hAnsi="Mulish"/>
          <w:color w:val="000000" w:themeColor="text1"/>
          <w:sz w:val="22"/>
          <w:szCs w:val="22"/>
          <w:vertAlign w:val="superscript"/>
        </w:rPr>
        <w:t>3</w:t>
      </w:r>
      <w:r w:rsidRPr="009E426D">
        <w:rPr>
          <w:rFonts w:ascii="Mulish" w:hAnsi="Mulish"/>
          <w:color w:val="000000" w:themeColor="text1"/>
          <w:sz w:val="22"/>
          <w:szCs w:val="22"/>
        </w:rPr>
        <w:t xml:space="preserve"> ročního průměru (tj. dvojnásobek teoretické nejnižší rizikové expozice AQG podle WHO). </w:t>
      </w:r>
    </w:p>
    <w:p w14:paraId="526BE31B" w14:textId="7BB4B218" w:rsidR="00830024" w:rsidRPr="009E426D" w:rsidRDefault="00830024" w:rsidP="009E426D">
      <w:pPr>
        <w:pStyle w:val="DefaultText1"/>
        <w:numPr>
          <w:ilvl w:val="0"/>
          <w:numId w:val="31"/>
        </w:numPr>
        <w:spacing w:line="276" w:lineRule="auto"/>
        <w:ind w:left="720"/>
        <w:jc w:val="both"/>
        <w:rPr>
          <w:rFonts w:ascii="Mulish" w:hAnsi="Mulish"/>
          <w:color w:val="000000" w:themeColor="text1"/>
          <w:sz w:val="22"/>
          <w:szCs w:val="22"/>
        </w:rPr>
      </w:pPr>
      <w:r w:rsidRPr="009E426D">
        <w:rPr>
          <w:rFonts w:ascii="Mulish" w:hAnsi="Mulish"/>
          <w:color w:val="000000" w:themeColor="text1"/>
          <w:sz w:val="22"/>
          <w:szCs w:val="22"/>
        </w:rPr>
        <w:t>Na všech 79 stanicích, včetně pozaďových, byla v roce 2022 alespoň jednou překročena cílová hodnota 24 hodinového průměru AQG WHO 15 µg/m</w:t>
      </w:r>
      <w:r w:rsidRPr="009E426D">
        <w:rPr>
          <w:rFonts w:ascii="Mulish" w:hAnsi="Mulish"/>
          <w:color w:val="000000" w:themeColor="text1"/>
          <w:sz w:val="22"/>
          <w:szCs w:val="22"/>
          <w:vertAlign w:val="superscript"/>
        </w:rPr>
        <w:t>3</w:t>
      </w:r>
      <w:r w:rsidRPr="009E426D">
        <w:rPr>
          <w:rFonts w:ascii="Mulish" w:hAnsi="Mulish"/>
          <w:color w:val="000000" w:themeColor="text1"/>
          <w:sz w:val="22"/>
          <w:szCs w:val="22"/>
        </w:rPr>
        <w:t>. Nejvíce překročení denní doporučené cílové hodnoty WHO – 243 bylo v roce 2022 naměřeno na stanici  Ostrava-Radvanice.</w:t>
      </w:r>
    </w:p>
    <w:p w14:paraId="239641A5" w14:textId="5E2137D5" w:rsidR="00194AEB" w:rsidRPr="00552610" w:rsidRDefault="00194AEB" w:rsidP="00194AEB">
      <w:pPr>
        <w:spacing w:before="120" w:line="276" w:lineRule="auto"/>
        <w:ind w:left="284"/>
        <w:jc w:val="both"/>
        <w:rPr>
          <w:b/>
          <w:color w:val="auto"/>
          <w:sz w:val="22"/>
          <w:szCs w:val="22"/>
        </w:rPr>
      </w:pPr>
      <w:r w:rsidRPr="00552610">
        <w:rPr>
          <w:b/>
          <w:color w:val="auto"/>
          <w:sz w:val="22"/>
          <w:szCs w:val="22"/>
        </w:rPr>
        <w:t>Odhad navýšení celkové předčasné úmrtnosti, ke kterému přispěla expozice suspendovaným částicím frakce PM</w:t>
      </w:r>
      <w:r w:rsidRPr="00552610">
        <w:rPr>
          <w:b/>
          <w:color w:val="auto"/>
          <w:sz w:val="22"/>
          <w:szCs w:val="22"/>
          <w:vertAlign w:val="subscript"/>
        </w:rPr>
        <w:t>2,5</w:t>
      </w:r>
      <w:r w:rsidR="00AD4497">
        <w:rPr>
          <w:b/>
          <w:color w:val="auto"/>
          <w:sz w:val="22"/>
          <w:szCs w:val="22"/>
        </w:rPr>
        <w:t xml:space="preserve">, </w:t>
      </w:r>
      <w:r w:rsidRPr="00552610">
        <w:rPr>
          <w:b/>
          <w:color w:val="auto"/>
          <w:sz w:val="22"/>
          <w:szCs w:val="22"/>
        </w:rPr>
        <w:t>se v roce 2022, podle míry zátěže konkrétní lokality, pohyboval od 1,7 % v čistých městských lokalitách až po 15,6 % v oblastech zvláště intenzivně zatížených dopravou a průmyslem, případně dálkovým transportem. Střední hodnota 17,4 µg/m</w:t>
      </w:r>
      <w:r w:rsidRPr="00552610">
        <w:rPr>
          <w:b/>
          <w:color w:val="auto"/>
          <w:sz w:val="22"/>
          <w:szCs w:val="22"/>
          <w:vertAlign w:val="superscript"/>
        </w:rPr>
        <w:t>3</w:t>
      </w:r>
      <w:r w:rsidRPr="00552610">
        <w:rPr>
          <w:b/>
          <w:color w:val="auto"/>
          <w:sz w:val="22"/>
          <w:szCs w:val="22"/>
        </w:rPr>
        <w:t xml:space="preserve"> v městských dopravou a průmyslem nezatížených oblastech pak odpovídá 10% navýšení</w:t>
      </w:r>
      <w:r w:rsidR="00F8550C">
        <w:rPr>
          <w:b/>
          <w:color w:val="auto"/>
          <w:sz w:val="22"/>
          <w:szCs w:val="22"/>
        </w:rPr>
        <w:t xml:space="preserve"> </w:t>
      </w:r>
      <w:r w:rsidR="00F8550C" w:rsidRPr="00552610">
        <w:rPr>
          <w:b/>
          <w:color w:val="auto"/>
          <w:sz w:val="22"/>
          <w:szCs w:val="22"/>
        </w:rPr>
        <w:t>celkové předčasné úmrtnosti</w:t>
      </w:r>
      <w:r w:rsidRPr="00552610">
        <w:rPr>
          <w:b/>
          <w:color w:val="auto"/>
          <w:sz w:val="22"/>
          <w:szCs w:val="22"/>
        </w:rPr>
        <w:t xml:space="preserve">. Odhad populačního rizika pro rok 2022 ale nelze pro </w:t>
      </w:r>
      <w:r w:rsidR="00471D7C">
        <w:rPr>
          <w:b/>
          <w:color w:val="auto"/>
          <w:sz w:val="22"/>
          <w:szCs w:val="22"/>
        </w:rPr>
        <w:t>přetrvávající</w:t>
      </w:r>
      <w:r w:rsidRPr="00552610">
        <w:rPr>
          <w:b/>
          <w:color w:val="auto"/>
          <w:sz w:val="22"/>
          <w:szCs w:val="22"/>
        </w:rPr>
        <w:t xml:space="preserve"> ovlivnění demografických dat epidemií Covid-19 provést.</w:t>
      </w:r>
    </w:p>
    <w:p w14:paraId="521BB10D" w14:textId="6D14E77D" w:rsidR="00194AEB" w:rsidRPr="007217B1" w:rsidRDefault="00194AEB" w:rsidP="00194AEB">
      <w:pPr>
        <w:spacing w:before="120"/>
        <w:jc w:val="both"/>
        <w:rPr>
          <w:color w:val="auto"/>
          <w:sz w:val="22"/>
          <w:szCs w:val="22"/>
        </w:rPr>
      </w:pPr>
      <w:r w:rsidRPr="007217B1">
        <w:rPr>
          <w:color w:val="auto"/>
          <w:sz w:val="22"/>
          <w:szCs w:val="22"/>
        </w:rPr>
        <w:t xml:space="preserve">Po mírném nárůstu v letech 2017 - 2018, výrazném poklesu v letech 2019 a 2020 jsou hodnoty v roce 2022, přes vliv mimořádně příznivých rozptylových meteorologických podmínek, srovnatelné s rokem 2021. Příčinou může být i energetická krize v první polovině roku, která </w:t>
      </w:r>
      <w:r w:rsidR="00471D7C">
        <w:rPr>
          <w:color w:val="auto"/>
          <w:sz w:val="22"/>
          <w:szCs w:val="22"/>
        </w:rPr>
        <w:t>ovlivnila i</w:t>
      </w:r>
      <w:r w:rsidRPr="007217B1">
        <w:rPr>
          <w:color w:val="auto"/>
          <w:sz w:val="22"/>
          <w:szCs w:val="22"/>
        </w:rPr>
        <w:t> zimní měsíc</w:t>
      </w:r>
      <w:r w:rsidR="00471D7C">
        <w:rPr>
          <w:color w:val="auto"/>
          <w:sz w:val="22"/>
          <w:szCs w:val="22"/>
        </w:rPr>
        <w:t>e</w:t>
      </w:r>
      <w:r w:rsidRPr="007217B1">
        <w:rPr>
          <w:color w:val="auto"/>
          <w:sz w:val="22"/>
          <w:szCs w:val="22"/>
        </w:rPr>
        <w:t>. Trend ročních hodnot suspendovaných částic frakce PM</w:t>
      </w:r>
      <w:r w:rsidRPr="007217B1">
        <w:rPr>
          <w:color w:val="auto"/>
          <w:sz w:val="22"/>
          <w:szCs w:val="22"/>
          <w:vertAlign w:val="subscript"/>
        </w:rPr>
        <w:t>10</w:t>
      </w:r>
      <w:r w:rsidRPr="007217B1">
        <w:rPr>
          <w:color w:val="auto"/>
          <w:sz w:val="22"/>
          <w:szCs w:val="22"/>
        </w:rPr>
        <w:t xml:space="preserve"> i frakce PM</w:t>
      </w:r>
      <w:r w:rsidRPr="007217B1">
        <w:rPr>
          <w:color w:val="auto"/>
          <w:sz w:val="22"/>
          <w:szCs w:val="22"/>
          <w:vertAlign w:val="subscript"/>
        </w:rPr>
        <w:t>2,5</w:t>
      </w:r>
      <w:r w:rsidRPr="007217B1">
        <w:rPr>
          <w:color w:val="auto"/>
          <w:sz w:val="22"/>
          <w:szCs w:val="22"/>
        </w:rPr>
        <w:t xml:space="preserve"> za posledních deset let, lze přitom stále interpretovat jako klesající. Viz vývoj za období 1997 až 2022 </w:t>
      </w:r>
      <w:r w:rsidR="00471D7C">
        <w:rPr>
          <w:color w:val="auto"/>
          <w:sz w:val="22"/>
          <w:szCs w:val="22"/>
        </w:rPr>
        <w:t xml:space="preserve">je </w:t>
      </w:r>
      <w:r w:rsidRPr="007217B1">
        <w:rPr>
          <w:color w:val="auto"/>
          <w:sz w:val="22"/>
          <w:szCs w:val="22"/>
        </w:rPr>
        <w:t xml:space="preserve">na grafu v příloze č. 2 této zprávy. Městské prostředí ale stále, již od mírné zátěže dopravou spolu s lokalitami ovlivněnými průmyslem, představuje pro obyvatele zdravotní riziko. </w:t>
      </w:r>
    </w:p>
    <w:p w14:paraId="45972A94" w14:textId="77777777" w:rsidR="00194AEB" w:rsidRPr="009E426D" w:rsidRDefault="00194AEB" w:rsidP="009E426D">
      <w:pPr>
        <w:pStyle w:val="DefaultText1"/>
        <w:spacing w:before="120" w:line="276" w:lineRule="auto"/>
        <w:jc w:val="both"/>
        <w:rPr>
          <w:rFonts w:ascii="Mulish" w:hAnsi="Mulish"/>
          <w:bCs/>
          <w:color w:val="000000" w:themeColor="text1"/>
          <w:sz w:val="22"/>
          <w:szCs w:val="22"/>
        </w:rPr>
      </w:pPr>
    </w:p>
    <w:p w14:paraId="431126D7" w14:textId="77777777" w:rsidR="00830024" w:rsidRPr="00C82B83" w:rsidRDefault="00830024" w:rsidP="00830024">
      <w:pPr>
        <w:pStyle w:val="DefaultText1"/>
        <w:jc w:val="both"/>
        <w:rPr>
          <w:b/>
          <w:bCs/>
          <w:color w:val="FF0000"/>
          <w:sz w:val="22"/>
          <w:szCs w:val="22"/>
        </w:rPr>
      </w:pPr>
    </w:p>
    <w:p w14:paraId="61C744F8" w14:textId="77777777" w:rsidR="00552610" w:rsidRDefault="00552610">
      <w:pPr>
        <w:autoSpaceDE/>
        <w:autoSpaceDN/>
        <w:adjustRightInd/>
        <w:spacing w:after="160" w:line="259" w:lineRule="auto"/>
        <w:textAlignment w:val="auto"/>
        <w:rPr>
          <w:rFonts w:eastAsia="Times New Roman" w:cs="Times New Roman"/>
          <w:b/>
          <w:bCs/>
          <w:color w:val="auto"/>
          <w:sz w:val="24"/>
          <w:szCs w:val="24"/>
          <w:lang w:eastAsia="cs-CZ"/>
        </w:rPr>
      </w:pPr>
      <w:r>
        <w:rPr>
          <w:b/>
          <w:bCs/>
        </w:rPr>
        <w:br w:type="page"/>
      </w:r>
    </w:p>
    <w:p w14:paraId="040BE93D" w14:textId="2EDCA589" w:rsidR="00830024" w:rsidRPr="006B5E35" w:rsidRDefault="00830024" w:rsidP="006B5E35">
      <w:pPr>
        <w:pStyle w:val="DefaultText1"/>
        <w:jc w:val="center"/>
        <w:rPr>
          <w:rFonts w:ascii="Mulish" w:hAnsi="Mulish"/>
          <w:b/>
          <w:bCs/>
        </w:rPr>
      </w:pPr>
      <w:r w:rsidRPr="006B5E35">
        <w:rPr>
          <w:rFonts w:ascii="Mulish" w:hAnsi="Mulish"/>
          <w:b/>
          <w:bCs/>
        </w:rPr>
        <w:lastRenderedPageBreak/>
        <w:t>Arsen (As)</w:t>
      </w:r>
    </w:p>
    <w:p w14:paraId="6C7609F5" w14:textId="77777777" w:rsidR="005041D0" w:rsidRPr="006B5E35" w:rsidRDefault="005041D0" w:rsidP="005041D0">
      <w:pPr>
        <w:pStyle w:val="DefaultText1"/>
        <w:spacing w:before="120" w:line="276" w:lineRule="auto"/>
        <w:jc w:val="both"/>
        <w:rPr>
          <w:rFonts w:ascii="Mulish" w:hAnsi="Mulish"/>
          <w:bCs/>
          <w:noProof/>
          <w:sz w:val="22"/>
          <w:szCs w:val="22"/>
        </w:rPr>
      </w:pPr>
      <w:r w:rsidRPr="006B5E35">
        <w:rPr>
          <w:rFonts w:ascii="Mulish" w:hAnsi="Mulish"/>
          <w:bCs/>
          <w:noProof/>
          <w:sz w:val="22"/>
          <w:szCs w:val="22"/>
        </w:rPr>
        <w:t xml:space="preserve">Hlavní cestou expozice arsenu je vdechování a příjem potravou a vodou. Arsen vstřebaný do organismu se ukládá zejména v kůži a jejích derivátech, jako jsou nehty a vlasy. Proniká placentární bariérou. Vylučován je převážně močí. Chronická otrava nejčastěji zahrnuje kontaktní alergické dermatitidy a ekzémy. Časté je postižení nervového systému (degenerace optického nervu, poškození vestibulárního ústrojí), trávicího ústrojí, cévního systému </w:t>
      </w:r>
      <w:r w:rsidRPr="006B5E35">
        <w:rPr>
          <w:rFonts w:ascii="Mulish" w:hAnsi="Mulish"/>
          <w:bCs/>
          <w:noProof/>
          <w:sz w:val="22"/>
          <w:szCs w:val="22"/>
        </w:rPr>
        <w:br/>
        <w:t xml:space="preserve">i krvetvorby. V epidemiologických studiích byla pozorována zvýšená úmrtnost na kardiovaskulární choroby. U exponovaných osob byly zjištěny chromosomální aberace periferních lymfocytů. Arseničnan sodný inhibuje reparaci DNA v buňkách lidské kůže </w:t>
      </w:r>
      <w:r w:rsidRPr="006B5E35">
        <w:rPr>
          <w:rFonts w:ascii="Mulish" w:hAnsi="Mulish"/>
          <w:bCs/>
          <w:noProof/>
          <w:sz w:val="22"/>
          <w:szCs w:val="22"/>
        </w:rPr>
        <w:br/>
        <w:t>a v lymfocytech. Anorganické sloučeniny arsenu jsou klasifikovány jako lidský karcinogen. Kritickým účinkem po expozici vdechováním je rakovina plic. Pro riziko jejího vzniku je odhadována jednotka rizika ze studií profesionálně exponovaných populací ve Švédsku a USA. Hodnota jednotkového rizika převzatá od Světové zdravotnické organizace je pro arsen odhadována na 1,50 × 10</w:t>
      </w:r>
      <w:r w:rsidRPr="006B5E35">
        <w:rPr>
          <w:rFonts w:ascii="Mulish" w:hAnsi="Mulish"/>
          <w:bCs/>
          <w:noProof/>
          <w:sz w:val="22"/>
          <w:szCs w:val="22"/>
          <w:vertAlign w:val="superscript"/>
        </w:rPr>
        <w:t>-3</w:t>
      </w:r>
      <w:r w:rsidRPr="006B5E35">
        <w:rPr>
          <w:rFonts w:ascii="Mulish" w:hAnsi="Mulish"/>
          <w:bCs/>
          <w:noProof/>
          <w:sz w:val="22"/>
          <w:szCs w:val="22"/>
        </w:rPr>
        <w:t xml:space="preserve">. </w:t>
      </w:r>
    </w:p>
    <w:p w14:paraId="6E656A03" w14:textId="658657F5" w:rsidR="005041D0" w:rsidRPr="00F37CA6" w:rsidRDefault="005041D0" w:rsidP="005041D0">
      <w:pPr>
        <w:spacing w:before="120"/>
        <w:jc w:val="both"/>
        <w:rPr>
          <w:color w:val="auto"/>
          <w:sz w:val="22"/>
          <w:szCs w:val="22"/>
        </w:rPr>
      </w:pPr>
      <w:r w:rsidRPr="00F37CA6">
        <w:rPr>
          <w:color w:val="auto"/>
          <w:sz w:val="22"/>
          <w:szCs w:val="22"/>
        </w:rPr>
        <w:t xml:space="preserve">Tabulka č. </w:t>
      </w:r>
      <w:r w:rsidRPr="00F37CA6">
        <w:rPr>
          <w:color w:val="auto"/>
          <w:sz w:val="22"/>
          <w:szCs w:val="22"/>
        </w:rPr>
        <w:fldChar w:fldCharType="begin"/>
      </w:r>
      <w:r w:rsidRPr="00F37CA6">
        <w:rPr>
          <w:color w:val="auto"/>
          <w:sz w:val="22"/>
          <w:szCs w:val="22"/>
        </w:rPr>
        <w:instrText xml:space="preserve"> SEQ Tabulka_č._ \* ARABIC </w:instrText>
      </w:r>
      <w:r w:rsidRPr="00F37CA6">
        <w:rPr>
          <w:color w:val="auto"/>
          <w:sz w:val="22"/>
          <w:szCs w:val="22"/>
        </w:rPr>
        <w:fldChar w:fldCharType="separate"/>
      </w:r>
      <w:r w:rsidR="00D30EF9">
        <w:rPr>
          <w:noProof/>
          <w:color w:val="auto"/>
          <w:sz w:val="22"/>
          <w:szCs w:val="22"/>
        </w:rPr>
        <w:t>8</w:t>
      </w:r>
      <w:r w:rsidRPr="00F37CA6">
        <w:rPr>
          <w:color w:val="auto"/>
          <w:sz w:val="22"/>
          <w:szCs w:val="22"/>
        </w:rPr>
        <w:fldChar w:fldCharType="end"/>
      </w:r>
      <w:r w:rsidRPr="00F37CA6">
        <w:rPr>
          <w:color w:val="auto"/>
          <w:sz w:val="22"/>
          <w:szCs w:val="22"/>
        </w:rPr>
        <w:t xml:space="preserve">. 2022 – As roční průměry a hodnoty individuálního a populačního rizika  </w:t>
      </w:r>
    </w:p>
    <w:tbl>
      <w:tblPr>
        <w:tblW w:w="9403" w:type="dxa"/>
        <w:jc w:val="center"/>
        <w:tblCellMar>
          <w:left w:w="70" w:type="dxa"/>
          <w:right w:w="70" w:type="dxa"/>
        </w:tblCellMar>
        <w:tblLook w:val="0000" w:firstRow="0" w:lastRow="0" w:firstColumn="0" w:lastColumn="0" w:noHBand="0" w:noVBand="0"/>
      </w:tblPr>
      <w:tblGrid>
        <w:gridCol w:w="3069"/>
        <w:gridCol w:w="1080"/>
        <w:gridCol w:w="909"/>
        <w:gridCol w:w="1251"/>
        <w:gridCol w:w="1089"/>
        <w:gridCol w:w="1063"/>
        <w:gridCol w:w="942"/>
      </w:tblGrid>
      <w:tr w:rsidR="005041D0" w:rsidRPr="00D66167" w14:paraId="4024ACBD" w14:textId="77777777" w:rsidTr="00D00416">
        <w:trPr>
          <w:trHeight w:val="375"/>
          <w:jc w:val="center"/>
        </w:trPr>
        <w:tc>
          <w:tcPr>
            <w:tcW w:w="3069" w:type="dxa"/>
            <w:tcBorders>
              <w:top w:val="single" w:sz="4" w:space="0" w:color="auto"/>
              <w:left w:val="single" w:sz="4" w:space="0" w:color="auto"/>
              <w:bottom w:val="nil"/>
              <w:right w:val="single" w:sz="4" w:space="0" w:color="auto"/>
            </w:tcBorders>
            <w:shd w:val="clear" w:color="auto" w:fill="B4C6E7" w:themeFill="accent1" w:themeFillTint="66"/>
            <w:noWrap/>
            <w:vAlign w:val="bottom"/>
          </w:tcPr>
          <w:p w14:paraId="43A0E362" w14:textId="77777777" w:rsidR="005041D0" w:rsidRPr="00F37CA6" w:rsidRDefault="005041D0" w:rsidP="00D00416">
            <w:pPr>
              <w:rPr>
                <w:b/>
                <w:bCs/>
                <w:color w:val="auto"/>
              </w:rPr>
            </w:pPr>
            <w:r w:rsidRPr="00F37CA6">
              <w:rPr>
                <w:b/>
                <w:bCs/>
                <w:color w:val="auto"/>
              </w:rPr>
              <w:t>Arsen</w:t>
            </w:r>
          </w:p>
        </w:tc>
        <w:tc>
          <w:tcPr>
            <w:tcW w:w="1989" w:type="dxa"/>
            <w:gridSpan w:val="2"/>
            <w:tcBorders>
              <w:top w:val="single" w:sz="4" w:space="0" w:color="auto"/>
              <w:left w:val="nil"/>
              <w:bottom w:val="nil"/>
              <w:right w:val="single" w:sz="4" w:space="0" w:color="000000"/>
            </w:tcBorders>
            <w:shd w:val="clear" w:color="auto" w:fill="B4C6E7" w:themeFill="accent1" w:themeFillTint="66"/>
            <w:noWrap/>
            <w:vAlign w:val="bottom"/>
          </w:tcPr>
          <w:p w14:paraId="0E400ED5" w14:textId="77777777" w:rsidR="005041D0" w:rsidRPr="00F37CA6" w:rsidRDefault="005041D0" w:rsidP="00D00416">
            <w:pPr>
              <w:jc w:val="center"/>
              <w:rPr>
                <w:color w:val="auto"/>
              </w:rPr>
            </w:pPr>
            <w:r w:rsidRPr="00F37CA6">
              <w:rPr>
                <w:color w:val="auto"/>
              </w:rPr>
              <w:t>roční průměry (</w:t>
            </w:r>
            <w:proofErr w:type="spellStart"/>
            <w:r w:rsidRPr="00F37CA6">
              <w:rPr>
                <w:color w:val="auto"/>
              </w:rPr>
              <w:t>ng</w:t>
            </w:r>
            <w:proofErr w:type="spellEnd"/>
            <w:r w:rsidRPr="00F37CA6">
              <w:rPr>
                <w:color w:val="auto"/>
              </w:rPr>
              <w:t>/m</w:t>
            </w:r>
            <w:r w:rsidRPr="00F37CA6">
              <w:rPr>
                <w:color w:val="auto"/>
                <w:vertAlign w:val="superscript"/>
              </w:rPr>
              <w:t>3</w:t>
            </w:r>
            <w:r w:rsidRPr="00F37CA6">
              <w:rPr>
                <w:color w:val="auto"/>
              </w:rPr>
              <w:t>)</w:t>
            </w:r>
          </w:p>
        </w:tc>
        <w:tc>
          <w:tcPr>
            <w:tcW w:w="2340" w:type="dxa"/>
            <w:gridSpan w:val="2"/>
            <w:tcBorders>
              <w:top w:val="single" w:sz="4" w:space="0" w:color="auto"/>
              <w:left w:val="nil"/>
              <w:bottom w:val="nil"/>
              <w:right w:val="single" w:sz="4" w:space="0" w:color="000000"/>
            </w:tcBorders>
            <w:shd w:val="clear" w:color="auto" w:fill="B4C6E7" w:themeFill="accent1" w:themeFillTint="66"/>
            <w:noWrap/>
            <w:vAlign w:val="bottom"/>
          </w:tcPr>
          <w:p w14:paraId="4A85A7E4" w14:textId="77777777" w:rsidR="005041D0" w:rsidRPr="00F37CA6" w:rsidRDefault="005041D0" w:rsidP="00D00416">
            <w:pPr>
              <w:jc w:val="center"/>
              <w:rPr>
                <w:color w:val="auto"/>
              </w:rPr>
            </w:pPr>
            <w:r w:rsidRPr="00F37CA6">
              <w:rPr>
                <w:color w:val="auto"/>
              </w:rPr>
              <w:t>karcinogenní riziko (ILCR)</w:t>
            </w:r>
          </w:p>
        </w:tc>
        <w:tc>
          <w:tcPr>
            <w:tcW w:w="2005" w:type="dxa"/>
            <w:gridSpan w:val="2"/>
            <w:tcBorders>
              <w:top w:val="single" w:sz="4" w:space="0" w:color="auto"/>
              <w:left w:val="nil"/>
              <w:bottom w:val="nil"/>
              <w:right w:val="single" w:sz="4" w:space="0" w:color="000000"/>
            </w:tcBorders>
            <w:shd w:val="clear" w:color="auto" w:fill="B4C6E7" w:themeFill="accent1" w:themeFillTint="66"/>
            <w:noWrap/>
            <w:vAlign w:val="bottom"/>
          </w:tcPr>
          <w:p w14:paraId="0486BD9C" w14:textId="77777777" w:rsidR="005041D0" w:rsidRPr="00F37CA6" w:rsidRDefault="005041D0" w:rsidP="00D00416">
            <w:pPr>
              <w:jc w:val="center"/>
              <w:rPr>
                <w:color w:val="auto"/>
              </w:rPr>
            </w:pPr>
            <w:r w:rsidRPr="00F37CA6">
              <w:rPr>
                <w:color w:val="auto"/>
              </w:rPr>
              <w:t>populační riziko/70 let</w:t>
            </w:r>
          </w:p>
        </w:tc>
      </w:tr>
      <w:tr w:rsidR="005041D0" w:rsidRPr="00D66167" w14:paraId="497B3F19" w14:textId="77777777" w:rsidTr="00D00416">
        <w:trPr>
          <w:trHeight w:val="315"/>
          <w:jc w:val="center"/>
        </w:trPr>
        <w:tc>
          <w:tcPr>
            <w:tcW w:w="3069" w:type="dxa"/>
            <w:tcBorders>
              <w:top w:val="nil"/>
              <w:left w:val="single" w:sz="4" w:space="0" w:color="auto"/>
              <w:bottom w:val="single" w:sz="4" w:space="0" w:color="auto"/>
              <w:right w:val="single" w:sz="4" w:space="0" w:color="auto"/>
            </w:tcBorders>
            <w:shd w:val="clear" w:color="auto" w:fill="B4C6E7" w:themeFill="accent1" w:themeFillTint="66"/>
            <w:noWrap/>
            <w:vAlign w:val="bottom"/>
          </w:tcPr>
          <w:p w14:paraId="5A03A8CC" w14:textId="77777777" w:rsidR="005041D0" w:rsidRPr="00F37CA6" w:rsidRDefault="005041D0" w:rsidP="00D00416">
            <w:pPr>
              <w:rPr>
                <w:color w:val="auto"/>
              </w:rPr>
            </w:pPr>
            <w:r w:rsidRPr="00F37CA6">
              <w:rPr>
                <w:color w:val="auto"/>
              </w:rPr>
              <w:t>2022</w:t>
            </w:r>
          </w:p>
        </w:tc>
        <w:tc>
          <w:tcPr>
            <w:tcW w:w="1080" w:type="dxa"/>
            <w:tcBorders>
              <w:top w:val="nil"/>
              <w:left w:val="nil"/>
              <w:bottom w:val="single" w:sz="4" w:space="0" w:color="auto"/>
              <w:right w:val="nil"/>
            </w:tcBorders>
            <w:shd w:val="clear" w:color="auto" w:fill="B4C6E7" w:themeFill="accent1" w:themeFillTint="66"/>
            <w:noWrap/>
            <w:vAlign w:val="bottom"/>
          </w:tcPr>
          <w:p w14:paraId="596F87A7" w14:textId="3FF59BEF" w:rsidR="005041D0" w:rsidRPr="00F37CA6" w:rsidRDefault="00766CD7" w:rsidP="00D00416">
            <w:pPr>
              <w:jc w:val="center"/>
              <w:rPr>
                <w:color w:val="auto"/>
              </w:rPr>
            </w:pPr>
            <w:r>
              <w:rPr>
                <w:color w:val="auto"/>
              </w:rPr>
              <w:t>M</w:t>
            </w:r>
            <w:r w:rsidR="005041D0" w:rsidRPr="00F37CA6">
              <w:rPr>
                <w:color w:val="auto"/>
              </w:rPr>
              <w:t>in</w:t>
            </w:r>
          </w:p>
        </w:tc>
        <w:tc>
          <w:tcPr>
            <w:tcW w:w="909" w:type="dxa"/>
            <w:tcBorders>
              <w:top w:val="nil"/>
              <w:left w:val="nil"/>
              <w:bottom w:val="single" w:sz="4" w:space="0" w:color="auto"/>
              <w:right w:val="nil"/>
            </w:tcBorders>
            <w:shd w:val="clear" w:color="auto" w:fill="B4C6E7" w:themeFill="accent1" w:themeFillTint="66"/>
            <w:noWrap/>
            <w:vAlign w:val="bottom"/>
          </w:tcPr>
          <w:p w14:paraId="26B400F0" w14:textId="35397013" w:rsidR="005041D0" w:rsidRPr="00F37CA6" w:rsidRDefault="00766CD7" w:rsidP="00D00416">
            <w:pPr>
              <w:jc w:val="center"/>
              <w:rPr>
                <w:color w:val="auto"/>
              </w:rPr>
            </w:pPr>
            <w:r>
              <w:rPr>
                <w:color w:val="auto"/>
              </w:rPr>
              <w:t>M</w:t>
            </w:r>
            <w:r w:rsidR="005041D0" w:rsidRPr="00F37CA6">
              <w:rPr>
                <w:color w:val="auto"/>
              </w:rPr>
              <w:t>ax</w:t>
            </w:r>
          </w:p>
        </w:tc>
        <w:tc>
          <w:tcPr>
            <w:tcW w:w="1251" w:type="dxa"/>
            <w:tcBorders>
              <w:top w:val="nil"/>
              <w:left w:val="single" w:sz="4" w:space="0" w:color="auto"/>
              <w:bottom w:val="single" w:sz="4" w:space="0" w:color="auto"/>
              <w:right w:val="nil"/>
            </w:tcBorders>
            <w:shd w:val="clear" w:color="auto" w:fill="B4C6E7" w:themeFill="accent1" w:themeFillTint="66"/>
            <w:noWrap/>
            <w:vAlign w:val="bottom"/>
          </w:tcPr>
          <w:p w14:paraId="6294C6E9" w14:textId="73543AAD" w:rsidR="005041D0" w:rsidRPr="00F37CA6" w:rsidRDefault="00766CD7" w:rsidP="00D00416">
            <w:pPr>
              <w:jc w:val="center"/>
              <w:rPr>
                <w:color w:val="auto"/>
              </w:rPr>
            </w:pPr>
            <w:r>
              <w:rPr>
                <w:color w:val="auto"/>
              </w:rPr>
              <w:t>M</w:t>
            </w:r>
            <w:r w:rsidR="005041D0" w:rsidRPr="00F37CA6">
              <w:rPr>
                <w:color w:val="auto"/>
              </w:rPr>
              <w:t>in</w:t>
            </w:r>
          </w:p>
        </w:tc>
        <w:tc>
          <w:tcPr>
            <w:tcW w:w="1089" w:type="dxa"/>
            <w:tcBorders>
              <w:top w:val="nil"/>
              <w:left w:val="nil"/>
              <w:bottom w:val="single" w:sz="4" w:space="0" w:color="auto"/>
              <w:right w:val="single" w:sz="4" w:space="0" w:color="auto"/>
            </w:tcBorders>
            <w:shd w:val="clear" w:color="auto" w:fill="B4C6E7" w:themeFill="accent1" w:themeFillTint="66"/>
            <w:noWrap/>
            <w:vAlign w:val="bottom"/>
          </w:tcPr>
          <w:p w14:paraId="009FBCAE" w14:textId="07565C9A" w:rsidR="005041D0" w:rsidRPr="00F37CA6" w:rsidRDefault="00766CD7" w:rsidP="00D00416">
            <w:pPr>
              <w:jc w:val="center"/>
              <w:rPr>
                <w:color w:val="auto"/>
              </w:rPr>
            </w:pPr>
            <w:r>
              <w:rPr>
                <w:color w:val="auto"/>
              </w:rPr>
              <w:t>M</w:t>
            </w:r>
            <w:r w:rsidR="005041D0" w:rsidRPr="00F37CA6">
              <w:rPr>
                <w:color w:val="auto"/>
              </w:rPr>
              <w:t>ax</w:t>
            </w:r>
          </w:p>
        </w:tc>
        <w:tc>
          <w:tcPr>
            <w:tcW w:w="1063" w:type="dxa"/>
            <w:tcBorders>
              <w:top w:val="nil"/>
              <w:left w:val="nil"/>
              <w:bottom w:val="single" w:sz="4" w:space="0" w:color="auto"/>
              <w:right w:val="nil"/>
            </w:tcBorders>
            <w:shd w:val="clear" w:color="auto" w:fill="B4C6E7" w:themeFill="accent1" w:themeFillTint="66"/>
            <w:noWrap/>
            <w:vAlign w:val="bottom"/>
          </w:tcPr>
          <w:p w14:paraId="0B15FF22" w14:textId="5720A079" w:rsidR="005041D0" w:rsidRPr="00F37CA6" w:rsidRDefault="00766CD7" w:rsidP="00D00416">
            <w:pPr>
              <w:jc w:val="center"/>
              <w:rPr>
                <w:color w:val="auto"/>
              </w:rPr>
            </w:pPr>
            <w:r>
              <w:rPr>
                <w:color w:val="auto"/>
              </w:rPr>
              <w:t>M</w:t>
            </w:r>
            <w:r w:rsidR="005041D0" w:rsidRPr="00F37CA6">
              <w:rPr>
                <w:color w:val="auto"/>
              </w:rPr>
              <w:t>in</w:t>
            </w:r>
          </w:p>
        </w:tc>
        <w:tc>
          <w:tcPr>
            <w:tcW w:w="942" w:type="dxa"/>
            <w:tcBorders>
              <w:top w:val="nil"/>
              <w:left w:val="nil"/>
              <w:bottom w:val="single" w:sz="4" w:space="0" w:color="auto"/>
              <w:right w:val="single" w:sz="4" w:space="0" w:color="auto"/>
            </w:tcBorders>
            <w:shd w:val="clear" w:color="auto" w:fill="B4C6E7" w:themeFill="accent1" w:themeFillTint="66"/>
            <w:noWrap/>
            <w:vAlign w:val="bottom"/>
          </w:tcPr>
          <w:p w14:paraId="65E97D5D" w14:textId="529CEDFF" w:rsidR="005041D0" w:rsidRPr="00F37CA6" w:rsidRDefault="00766CD7" w:rsidP="00D00416">
            <w:pPr>
              <w:jc w:val="center"/>
              <w:rPr>
                <w:color w:val="auto"/>
              </w:rPr>
            </w:pPr>
            <w:r>
              <w:rPr>
                <w:color w:val="auto"/>
              </w:rPr>
              <w:t>M</w:t>
            </w:r>
            <w:r w:rsidR="005041D0" w:rsidRPr="00F37CA6">
              <w:rPr>
                <w:color w:val="auto"/>
              </w:rPr>
              <w:t>ax</w:t>
            </w:r>
          </w:p>
        </w:tc>
      </w:tr>
      <w:tr w:rsidR="005041D0" w:rsidRPr="00D66167" w14:paraId="071249E0" w14:textId="77777777" w:rsidTr="00D00416">
        <w:trPr>
          <w:trHeight w:val="315"/>
          <w:jc w:val="center"/>
        </w:trPr>
        <w:tc>
          <w:tcPr>
            <w:tcW w:w="3069" w:type="dxa"/>
            <w:tcBorders>
              <w:top w:val="single" w:sz="4" w:space="0" w:color="auto"/>
              <w:left w:val="single" w:sz="4" w:space="0" w:color="auto"/>
              <w:bottom w:val="nil"/>
              <w:right w:val="nil"/>
            </w:tcBorders>
            <w:shd w:val="clear" w:color="auto" w:fill="B4C6E7" w:themeFill="accent1" w:themeFillTint="66"/>
            <w:noWrap/>
            <w:vAlign w:val="bottom"/>
          </w:tcPr>
          <w:p w14:paraId="1830903B" w14:textId="77777777" w:rsidR="005041D0" w:rsidRPr="00F37CA6" w:rsidRDefault="005041D0" w:rsidP="00D00416">
            <w:pPr>
              <w:rPr>
                <w:color w:val="auto"/>
              </w:rPr>
            </w:pPr>
            <w:r w:rsidRPr="00F37CA6">
              <w:rPr>
                <w:color w:val="auto"/>
              </w:rPr>
              <w:t>ČR (10,5 mil. obyvatel)</w:t>
            </w:r>
          </w:p>
        </w:tc>
        <w:tc>
          <w:tcPr>
            <w:tcW w:w="1080" w:type="dxa"/>
            <w:tcBorders>
              <w:top w:val="single" w:sz="4" w:space="0" w:color="auto"/>
              <w:left w:val="single" w:sz="4" w:space="0" w:color="auto"/>
              <w:bottom w:val="nil"/>
              <w:right w:val="nil"/>
            </w:tcBorders>
            <w:shd w:val="clear" w:color="auto" w:fill="auto"/>
            <w:noWrap/>
            <w:vAlign w:val="center"/>
          </w:tcPr>
          <w:p w14:paraId="1A19DB5D" w14:textId="1518BE0F" w:rsidR="005041D0" w:rsidRPr="00B77962" w:rsidRDefault="005041D0" w:rsidP="00B77962">
            <w:pPr>
              <w:jc w:val="center"/>
              <w:rPr>
                <w:color w:val="auto"/>
              </w:rPr>
            </w:pPr>
            <w:r w:rsidRPr="00B77962">
              <w:rPr>
                <w:color w:val="auto"/>
              </w:rPr>
              <w:t>0,</w:t>
            </w:r>
            <w:r w:rsidR="00B77962" w:rsidRPr="00B77962">
              <w:rPr>
                <w:color w:val="auto"/>
              </w:rPr>
              <w:t>5</w:t>
            </w:r>
            <w:r w:rsidRPr="00B77962">
              <w:rPr>
                <w:color w:val="auto"/>
              </w:rPr>
              <w:t>3</w:t>
            </w:r>
          </w:p>
        </w:tc>
        <w:tc>
          <w:tcPr>
            <w:tcW w:w="909" w:type="dxa"/>
            <w:tcBorders>
              <w:top w:val="single" w:sz="4" w:space="0" w:color="auto"/>
              <w:left w:val="nil"/>
              <w:bottom w:val="nil"/>
              <w:right w:val="nil"/>
            </w:tcBorders>
            <w:shd w:val="clear" w:color="auto" w:fill="auto"/>
            <w:noWrap/>
            <w:vAlign w:val="center"/>
          </w:tcPr>
          <w:p w14:paraId="6D012D8A" w14:textId="7C57A41E" w:rsidR="005041D0" w:rsidRPr="00B77962" w:rsidRDefault="00B77962" w:rsidP="00B77962">
            <w:pPr>
              <w:jc w:val="center"/>
              <w:rPr>
                <w:color w:val="auto"/>
              </w:rPr>
            </w:pPr>
            <w:r w:rsidRPr="00B77962">
              <w:rPr>
                <w:color w:val="auto"/>
              </w:rPr>
              <w:t>5,25</w:t>
            </w:r>
          </w:p>
        </w:tc>
        <w:tc>
          <w:tcPr>
            <w:tcW w:w="1251" w:type="dxa"/>
            <w:tcBorders>
              <w:top w:val="single" w:sz="4" w:space="0" w:color="auto"/>
              <w:left w:val="single" w:sz="4" w:space="0" w:color="auto"/>
              <w:bottom w:val="nil"/>
              <w:right w:val="nil"/>
            </w:tcBorders>
            <w:shd w:val="clear" w:color="auto" w:fill="auto"/>
            <w:noWrap/>
            <w:vAlign w:val="center"/>
          </w:tcPr>
          <w:p w14:paraId="613CEE28" w14:textId="38F54149" w:rsidR="005041D0" w:rsidRPr="004D1DD3" w:rsidRDefault="004D1DD3" w:rsidP="004D1DD3">
            <w:pPr>
              <w:jc w:val="center"/>
              <w:rPr>
                <w:color w:val="auto"/>
              </w:rPr>
            </w:pPr>
            <w:r w:rsidRPr="004D1DD3">
              <w:rPr>
                <w:color w:val="auto"/>
              </w:rPr>
              <w:t>7</w:t>
            </w:r>
            <w:r w:rsidR="005041D0" w:rsidRPr="004D1DD3">
              <w:rPr>
                <w:color w:val="auto"/>
              </w:rPr>
              <w:t>,95E-7</w:t>
            </w:r>
          </w:p>
        </w:tc>
        <w:tc>
          <w:tcPr>
            <w:tcW w:w="1089" w:type="dxa"/>
            <w:tcBorders>
              <w:top w:val="single" w:sz="4" w:space="0" w:color="auto"/>
              <w:left w:val="nil"/>
              <w:bottom w:val="nil"/>
              <w:right w:val="single" w:sz="4" w:space="0" w:color="auto"/>
            </w:tcBorders>
            <w:shd w:val="clear" w:color="auto" w:fill="auto"/>
            <w:noWrap/>
            <w:vAlign w:val="center"/>
          </w:tcPr>
          <w:p w14:paraId="79896B70" w14:textId="473EDD31" w:rsidR="005041D0" w:rsidRPr="004D1DD3" w:rsidRDefault="004D1DD3" w:rsidP="004D1DD3">
            <w:pPr>
              <w:jc w:val="center"/>
              <w:rPr>
                <w:color w:val="auto"/>
              </w:rPr>
            </w:pPr>
            <w:r w:rsidRPr="004D1DD3">
              <w:rPr>
                <w:color w:val="auto"/>
              </w:rPr>
              <w:t>7</w:t>
            </w:r>
            <w:r w:rsidR="005041D0" w:rsidRPr="004D1DD3">
              <w:rPr>
                <w:color w:val="auto"/>
              </w:rPr>
              <w:t>,</w:t>
            </w:r>
            <w:r w:rsidRPr="004D1DD3">
              <w:rPr>
                <w:color w:val="auto"/>
              </w:rPr>
              <w:t>88</w:t>
            </w:r>
            <w:r w:rsidR="005041D0" w:rsidRPr="004D1DD3">
              <w:rPr>
                <w:color w:val="auto"/>
              </w:rPr>
              <w:t>E-6</w:t>
            </w:r>
          </w:p>
        </w:tc>
        <w:tc>
          <w:tcPr>
            <w:tcW w:w="1063" w:type="dxa"/>
            <w:tcBorders>
              <w:top w:val="single" w:sz="4" w:space="0" w:color="auto"/>
              <w:left w:val="nil"/>
              <w:bottom w:val="nil"/>
              <w:right w:val="nil"/>
            </w:tcBorders>
            <w:shd w:val="clear" w:color="auto" w:fill="auto"/>
            <w:noWrap/>
            <w:vAlign w:val="center"/>
          </w:tcPr>
          <w:p w14:paraId="27EBB202" w14:textId="1818F0CD" w:rsidR="005041D0" w:rsidRPr="00F03D24" w:rsidRDefault="005041D0" w:rsidP="00F03D24">
            <w:pPr>
              <w:jc w:val="center"/>
              <w:rPr>
                <w:color w:val="auto"/>
              </w:rPr>
            </w:pPr>
            <w:r w:rsidRPr="00F03D24">
              <w:rPr>
                <w:color w:val="auto"/>
              </w:rPr>
              <w:t>0,</w:t>
            </w:r>
            <w:r w:rsidR="00F03D24" w:rsidRPr="00F03D24">
              <w:rPr>
                <w:color w:val="auto"/>
              </w:rPr>
              <w:t>019</w:t>
            </w:r>
          </w:p>
        </w:tc>
        <w:tc>
          <w:tcPr>
            <w:tcW w:w="942" w:type="dxa"/>
            <w:tcBorders>
              <w:top w:val="single" w:sz="4" w:space="0" w:color="auto"/>
              <w:left w:val="nil"/>
              <w:bottom w:val="nil"/>
              <w:right w:val="single" w:sz="4" w:space="0" w:color="auto"/>
            </w:tcBorders>
            <w:shd w:val="clear" w:color="auto" w:fill="auto"/>
            <w:noWrap/>
            <w:vAlign w:val="center"/>
          </w:tcPr>
          <w:p w14:paraId="1818B632" w14:textId="76AF8458" w:rsidR="005041D0" w:rsidRPr="00F03D24" w:rsidRDefault="00F03D24" w:rsidP="00F03D24">
            <w:pPr>
              <w:jc w:val="center"/>
              <w:rPr>
                <w:color w:val="auto"/>
              </w:rPr>
            </w:pPr>
            <w:r w:rsidRPr="00F03D24">
              <w:rPr>
                <w:color w:val="auto"/>
              </w:rPr>
              <w:t>1</w:t>
            </w:r>
            <w:r w:rsidR="005041D0" w:rsidRPr="00F03D24">
              <w:rPr>
                <w:color w:val="auto"/>
              </w:rPr>
              <w:t>,</w:t>
            </w:r>
            <w:r w:rsidRPr="00F03D24">
              <w:rPr>
                <w:color w:val="auto"/>
              </w:rPr>
              <w:t>181</w:t>
            </w:r>
          </w:p>
        </w:tc>
      </w:tr>
      <w:tr w:rsidR="005041D0" w:rsidRPr="00D66167" w14:paraId="7A1A8605" w14:textId="77777777" w:rsidTr="00D00416">
        <w:trPr>
          <w:trHeight w:val="315"/>
          <w:jc w:val="center"/>
        </w:trPr>
        <w:tc>
          <w:tcPr>
            <w:tcW w:w="3069" w:type="dxa"/>
            <w:tcBorders>
              <w:top w:val="nil"/>
              <w:left w:val="single" w:sz="4" w:space="0" w:color="auto"/>
              <w:bottom w:val="nil"/>
              <w:right w:val="nil"/>
            </w:tcBorders>
            <w:shd w:val="clear" w:color="auto" w:fill="B4C6E7" w:themeFill="accent1" w:themeFillTint="66"/>
            <w:noWrap/>
            <w:vAlign w:val="bottom"/>
          </w:tcPr>
          <w:p w14:paraId="63A8C235" w14:textId="77777777" w:rsidR="005041D0" w:rsidRPr="00F37CA6" w:rsidRDefault="005041D0" w:rsidP="00D00416">
            <w:pPr>
              <w:rPr>
                <w:color w:val="auto"/>
              </w:rPr>
            </w:pPr>
            <w:r w:rsidRPr="00F37CA6">
              <w:rPr>
                <w:color w:val="auto"/>
              </w:rPr>
              <w:t>města (nad 5 tis. – 5,2 mil. ob.)</w:t>
            </w:r>
          </w:p>
        </w:tc>
        <w:tc>
          <w:tcPr>
            <w:tcW w:w="1080" w:type="dxa"/>
            <w:tcBorders>
              <w:top w:val="nil"/>
              <w:left w:val="single" w:sz="4" w:space="0" w:color="auto"/>
              <w:bottom w:val="nil"/>
              <w:right w:val="nil"/>
            </w:tcBorders>
            <w:shd w:val="clear" w:color="auto" w:fill="auto"/>
            <w:noWrap/>
            <w:vAlign w:val="center"/>
          </w:tcPr>
          <w:p w14:paraId="5C2F4F0F" w14:textId="0B32E651" w:rsidR="005041D0" w:rsidRPr="00B77962" w:rsidRDefault="005041D0" w:rsidP="00B77962">
            <w:pPr>
              <w:jc w:val="center"/>
              <w:rPr>
                <w:color w:val="auto"/>
              </w:rPr>
            </w:pPr>
            <w:r w:rsidRPr="00B77962">
              <w:rPr>
                <w:color w:val="auto"/>
              </w:rPr>
              <w:t>0,</w:t>
            </w:r>
            <w:r w:rsidR="00B77962" w:rsidRPr="00B77962">
              <w:rPr>
                <w:color w:val="auto"/>
              </w:rPr>
              <w:t>61</w:t>
            </w:r>
          </w:p>
        </w:tc>
        <w:tc>
          <w:tcPr>
            <w:tcW w:w="909" w:type="dxa"/>
            <w:tcBorders>
              <w:top w:val="nil"/>
              <w:left w:val="nil"/>
              <w:bottom w:val="nil"/>
              <w:right w:val="nil"/>
            </w:tcBorders>
            <w:shd w:val="clear" w:color="auto" w:fill="auto"/>
            <w:noWrap/>
            <w:vAlign w:val="center"/>
          </w:tcPr>
          <w:p w14:paraId="1DF8CA31" w14:textId="0A6DC2D3" w:rsidR="005041D0" w:rsidRPr="00B77962" w:rsidRDefault="005041D0" w:rsidP="00B77962">
            <w:pPr>
              <w:jc w:val="center"/>
              <w:rPr>
                <w:color w:val="auto"/>
              </w:rPr>
            </w:pPr>
            <w:r w:rsidRPr="00B77962">
              <w:rPr>
                <w:color w:val="auto"/>
              </w:rPr>
              <w:t>3,</w:t>
            </w:r>
            <w:r w:rsidR="00B77962" w:rsidRPr="00B77962">
              <w:rPr>
                <w:color w:val="auto"/>
              </w:rPr>
              <w:t>41</w:t>
            </w:r>
          </w:p>
        </w:tc>
        <w:tc>
          <w:tcPr>
            <w:tcW w:w="1251" w:type="dxa"/>
            <w:tcBorders>
              <w:top w:val="nil"/>
              <w:left w:val="single" w:sz="4" w:space="0" w:color="auto"/>
              <w:bottom w:val="nil"/>
              <w:right w:val="nil"/>
            </w:tcBorders>
            <w:shd w:val="clear" w:color="auto" w:fill="auto"/>
            <w:noWrap/>
            <w:vAlign w:val="center"/>
          </w:tcPr>
          <w:p w14:paraId="6C71882C" w14:textId="7979C353" w:rsidR="005041D0" w:rsidRPr="004D1DD3" w:rsidRDefault="004D1DD3" w:rsidP="004D1DD3">
            <w:pPr>
              <w:jc w:val="center"/>
              <w:rPr>
                <w:color w:val="auto"/>
              </w:rPr>
            </w:pPr>
            <w:r w:rsidRPr="004D1DD3">
              <w:rPr>
                <w:color w:val="auto"/>
              </w:rPr>
              <w:t>9</w:t>
            </w:r>
            <w:r w:rsidR="005041D0" w:rsidRPr="004D1DD3">
              <w:rPr>
                <w:color w:val="auto"/>
              </w:rPr>
              <w:t>,</w:t>
            </w:r>
            <w:r w:rsidRPr="004D1DD3">
              <w:rPr>
                <w:color w:val="auto"/>
              </w:rPr>
              <w:t>15</w:t>
            </w:r>
            <w:r w:rsidR="005041D0" w:rsidRPr="004D1DD3">
              <w:rPr>
                <w:color w:val="auto"/>
              </w:rPr>
              <w:t>E-7</w:t>
            </w:r>
          </w:p>
        </w:tc>
        <w:tc>
          <w:tcPr>
            <w:tcW w:w="1089" w:type="dxa"/>
            <w:tcBorders>
              <w:top w:val="nil"/>
              <w:left w:val="nil"/>
              <w:bottom w:val="nil"/>
              <w:right w:val="single" w:sz="4" w:space="0" w:color="auto"/>
            </w:tcBorders>
            <w:shd w:val="clear" w:color="auto" w:fill="auto"/>
            <w:noWrap/>
            <w:vAlign w:val="center"/>
          </w:tcPr>
          <w:p w14:paraId="5A820009" w14:textId="00A3751B" w:rsidR="005041D0" w:rsidRPr="004D1DD3" w:rsidRDefault="004D1DD3" w:rsidP="004D1DD3">
            <w:pPr>
              <w:jc w:val="center"/>
              <w:rPr>
                <w:color w:val="auto"/>
              </w:rPr>
            </w:pPr>
            <w:r w:rsidRPr="004D1DD3">
              <w:rPr>
                <w:color w:val="auto"/>
              </w:rPr>
              <w:t>5</w:t>
            </w:r>
            <w:r w:rsidR="005041D0" w:rsidRPr="004D1DD3">
              <w:rPr>
                <w:color w:val="auto"/>
              </w:rPr>
              <w:t>,</w:t>
            </w:r>
            <w:r w:rsidRPr="004D1DD3">
              <w:rPr>
                <w:color w:val="auto"/>
              </w:rPr>
              <w:t>12</w:t>
            </w:r>
            <w:r w:rsidR="005041D0" w:rsidRPr="004D1DD3">
              <w:rPr>
                <w:color w:val="auto"/>
              </w:rPr>
              <w:t>E-6</w:t>
            </w:r>
          </w:p>
        </w:tc>
        <w:tc>
          <w:tcPr>
            <w:tcW w:w="1063" w:type="dxa"/>
            <w:tcBorders>
              <w:top w:val="nil"/>
              <w:left w:val="nil"/>
              <w:bottom w:val="nil"/>
              <w:right w:val="nil"/>
            </w:tcBorders>
            <w:shd w:val="clear" w:color="auto" w:fill="auto"/>
            <w:noWrap/>
            <w:vAlign w:val="center"/>
          </w:tcPr>
          <w:p w14:paraId="48484371" w14:textId="2ED9BBC1" w:rsidR="005041D0" w:rsidRPr="00F03D24" w:rsidRDefault="005041D0" w:rsidP="00F03D24">
            <w:pPr>
              <w:jc w:val="center"/>
              <w:rPr>
                <w:color w:val="auto"/>
              </w:rPr>
            </w:pPr>
            <w:r w:rsidRPr="00F03D24">
              <w:rPr>
                <w:color w:val="auto"/>
              </w:rPr>
              <w:t>0,0</w:t>
            </w:r>
            <w:r w:rsidR="00F03D24" w:rsidRPr="00F03D24">
              <w:rPr>
                <w:color w:val="auto"/>
              </w:rPr>
              <w:t>69</w:t>
            </w:r>
          </w:p>
        </w:tc>
        <w:tc>
          <w:tcPr>
            <w:tcW w:w="942" w:type="dxa"/>
            <w:tcBorders>
              <w:top w:val="nil"/>
              <w:left w:val="nil"/>
              <w:bottom w:val="nil"/>
              <w:right w:val="single" w:sz="4" w:space="0" w:color="auto"/>
            </w:tcBorders>
            <w:shd w:val="clear" w:color="auto" w:fill="auto"/>
            <w:noWrap/>
            <w:vAlign w:val="center"/>
          </w:tcPr>
          <w:p w14:paraId="17502EA7" w14:textId="24127822" w:rsidR="005041D0" w:rsidRPr="00F03D24" w:rsidRDefault="005041D0" w:rsidP="00F03D24">
            <w:pPr>
              <w:jc w:val="center"/>
              <w:rPr>
                <w:color w:val="auto"/>
              </w:rPr>
            </w:pPr>
            <w:r w:rsidRPr="00F03D24">
              <w:rPr>
                <w:color w:val="auto"/>
              </w:rPr>
              <w:t>0,3</w:t>
            </w:r>
            <w:r w:rsidR="00F03D24" w:rsidRPr="00F03D24">
              <w:rPr>
                <w:color w:val="auto"/>
              </w:rPr>
              <w:t>8</w:t>
            </w:r>
            <w:r w:rsidRPr="00F03D24">
              <w:rPr>
                <w:color w:val="auto"/>
              </w:rPr>
              <w:t>4</w:t>
            </w:r>
          </w:p>
        </w:tc>
      </w:tr>
      <w:tr w:rsidR="005041D0" w:rsidRPr="00D66167" w14:paraId="3F4720F8" w14:textId="77777777" w:rsidTr="00D00416">
        <w:trPr>
          <w:trHeight w:val="315"/>
          <w:jc w:val="center"/>
        </w:trPr>
        <w:tc>
          <w:tcPr>
            <w:tcW w:w="3069" w:type="dxa"/>
            <w:tcBorders>
              <w:top w:val="nil"/>
              <w:left w:val="single" w:sz="4" w:space="0" w:color="auto"/>
              <w:bottom w:val="nil"/>
              <w:right w:val="nil"/>
            </w:tcBorders>
            <w:shd w:val="clear" w:color="auto" w:fill="B4C6E7" w:themeFill="accent1" w:themeFillTint="66"/>
            <w:noWrap/>
            <w:vAlign w:val="bottom"/>
          </w:tcPr>
          <w:p w14:paraId="66946759" w14:textId="77777777" w:rsidR="005041D0" w:rsidRPr="00F37CA6" w:rsidRDefault="005041D0" w:rsidP="00D00416">
            <w:pPr>
              <w:jc w:val="right"/>
              <w:rPr>
                <w:color w:val="auto"/>
              </w:rPr>
            </w:pPr>
            <w:r w:rsidRPr="00F37CA6">
              <w:rPr>
                <w:color w:val="auto"/>
              </w:rPr>
              <w:t>lokality bez dopravní zátěže</w:t>
            </w:r>
          </w:p>
        </w:tc>
        <w:tc>
          <w:tcPr>
            <w:tcW w:w="1080" w:type="dxa"/>
            <w:tcBorders>
              <w:top w:val="nil"/>
              <w:left w:val="single" w:sz="4" w:space="0" w:color="auto"/>
              <w:bottom w:val="nil"/>
              <w:right w:val="nil"/>
            </w:tcBorders>
            <w:shd w:val="clear" w:color="auto" w:fill="auto"/>
            <w:noWrap/>
            <w:vAlign w:val="center"/>
          </w:tcPr>
          <w:p w14:paraId="664DB325" w14:textId="02F65113" w:rsidR="005041D0" w:rsidRPr="00B77962" w:rsidRDefault="005041D0" w:rsidP="00B77962">
            <w:pPr>
              <w:jc w:val="center"/>
              <w:rPr>
                <w:color w:val="auto"/>
              </w:rPr>
            </w:pPr>
            <w:r w:rsidRPr="00B77962">
              <w:rPr>
                <w:color w:val="auto"/>
              </w:rPr>
              <w:t>0,</w:t>
            </w:r>
            <w:r w:rsidR="00B77962">
              <w:rPr>
                <w:color w:val="auto"/>
              </w:rPr>
              <w:t>61</w:t>
            </w:r>
          </w:p>
        </w:tc>
        <w:tc>
          <w:tcPr>
            <w:tcW w:w="909" w:type="dxa"/>
            <w:tcBorders>
              <w:top w:val="nil"/>
              <w:left w:val="nil"/>
              <w:bottom w:val="nil"/>
              <w:right w:val="nil"/>
            </w:tcBorders>
            <w:shd w:val="clear" w:color="auto" w:fill="auto"/>
            <w:noWrap/>
            <w:vAlign w:val="center"/>
          </w:tcPr>
          <w:p w14:paraId="4DDE8F45" w14:textId="6C8F612B" w:rsidR="005041D0" w:rsidRPr="00B77962" w:rsidRDefault="00B77962" w:rsidP="00B77962">
            <w:pPr>
              <w:jc w:val="center"/>
              <w:rPr>
                <w:color w:val="auto"/>
              </w:rPr>
            </w:pPr>
            <w:r>
              <w:rPr>
                <w:color w:val="auto"/>
              </w:rPr>
              <w:t>1</w:t>
            </w:r>
            <w:r w:rsidR="005041D0" w:rsidRPr="00B77962">
              <w:rPr>
                <w:color w:val="auto"/>
              </w:rPr>
              <w:t>,</w:t>
            </w:r>
            <w:r>
              <w:rPr>
                <w:color w:val="auto"/>
              </w:rPr>
              <w:t>94</w:t>
            </w:r>
          </w:p>
        </w:tc>
        <w:tc>
          <w:tcPr>
            <w:tcW w:w="1251" w:type="dxa"/>
            <w:tcBorders>
              <w:top w:val="nil"/>
              <w:left w:val="single" w:sz="4" w:space="0" w:color="auto"/>
              <w:bottom w:val="nil"/>
              <w:right w:val="nil"/>
            </w:tcBorders>
            <w:shd w:val="clear" w:color="auto" w:fill="auto"/>
            <w:noWrap/>
            <w:vAlign w:val="center"/>
          </w:tcPr>
          <w:p w14:paraId="6E2B3B6E" w14:textId="5D333C50" w:rsidR="005041D0" w:rsidRPr="004D1DD3" w:rsidRDefault="004D1DD3" w:rsidP="004D1DD3">
            <w:pPr>
              <w:jc w:val="center"/>
              <w:rPr>
                <w:color w:val="auto"/>
              </w:rPr>
            </w:pPr>
            <w:r w:rsidRPr="004D1DD3">
              <w:rPr>
                <w:color w:val="auto"/>
              </w:rPr>
              <w:t>9,15</w:t>
            </w:r>
            <w:r w:rsidR="005041D0" w:rsidRPr="004D1DD3">
              <w:rPr>
                <w:color w:val="auto"/>
              </w:rPr>
              <w:t>E-7</w:t>
            </w:r>
          </w:p>
        </w:tc>
        <w:tc>
          <w:tcPr>
            <w:tcW w:w="1089" w:type="dxa"/>
            <w:tcBorders>
              <w:top w:val="nil"/>
              <w:left w:val="nil"/>
              <w:bottom w:val="nil"/>
              <w:right w:val="single" w:sz="4" w:space="0" w:color="auto"/>
            </w:tcBorders>
            <w:shd w:val="clear" w:color="auto" w:fill="auto"/>
            <w:noWrap/>
            <w:vAlign w:val="center"/>
          </w:tcPr>
          <w:p w14:paraId="0B93E459" w14:textId="6405F180" w:rsidR="005041D0" w:rsidRPr="004D1DD3" w:rsidRDefault="005041D0" w:rsidP="004D1DD3">
            <w:pPr>
              <w:jc w:val="center"/>
              <w:rPr>
                <w:color w:val="auto"/>
              </w:rPr>
            </w:pPr>
            <w:r w:rsidRPr="004D1DD3">
              <w:rPr>
                <w:color w:val="auto"/>
              </w:rPr>
              <w:t>2,</w:t>
            </w:r>
            <w:r w:rsidR="004D1DD3" w:rsidRPr="004D1DD3">
              <w:rPr>
                <w:color w:val="auto"/>
              </w:rPr>
              <w:t>91</w:t>
            </w:r>
            <w:r w:rsidRPr="004D1DD3">
              <w:rPr>
                <w:color w:val="auto"/>
              </w:rPr>
              <w:t>E-6</w:t>
            </w:r>
          </w:p>
        </w:tc>
        <w:tc>
          <w:tcPr>
            <w:tcW w:w="1063" w:type="dxa"/>
            <w:tcBorders>
              <w:top w:val="nil"/>
              <w:left w:val="nil"/>
              <w:bottom w:val="nil"/>
              <w:right w:val="nil"/>
            </w:tcBorders>
            <w:shd w:val="clear" w:color="auto" w:fill="auto"/>
            <w:noWrap/>
            <w:vAlign w:val="center"/>
          </w:tcPr>
          <w:p w14:paraId="43ABE7B3" w14:textId="37EAC35F" w:rsidR="005041D0" w:rsidRPr="00F03D24" w:rsidRDefault="005041D0" w:rsidP="00F03D24">
            <w:pPr>
              <w:jc w:val="center"/>
              <w:rPr>
                <w:color w:val="auto"/>
              </w:rPr>
            </w:pPr>
            <w:r w:rsidRPr="00F03D24">
              <w:rPr>
                <w:color w:val="auto"/>
              </w:rPr>
              <w:t>0,0</w:t>
            </w:r>
            <w:r w:rsidR="00F03D24" w:rsidRPr="00F03D24">
              <w:rPr>
                <w:color w:val="auto"/>
              </w:rPr>
              <w:t>69</w:t>
            </w:r>
          </w:p>
        </w:tc>
        <w:tc>
          <w:tcPr>
            <w:tcW w:w="942" w:type="dxa"/>
            <w:tcBorders>
              <w:top w:val="nil"/>
              <w:left w:val="nil"/>
              <w:bottom w:val="nil"/>
              <w:right w:val="single" w:sz="4" w:space="0" w:color="auto"/>
            </w:tcBorders>
            <w:shd w:val="clear" w:color="auto" w:fill="auto"/>
            <w:noWrap/>
            <w:vAlign w:val="center"/>
          </w:tcPr>
          <w:p w14:paraId="34E48ECD" w14:textId="627E58EE" w:rsidR="005041D0" w:rsidRPr="00F03D24" w:rsidRDefault="005041D0" w:rsidP="00F03D24">
            <w:pPr>
              <w:jc w:val="center"/>
              <w:rPr>
                <w:color w:val="auto"/>
              </w:rPr>
            </w:pPr>
            <w:r w:rsidRPr="00F03D24">
              <w:rPr>
                <w:color w:val="auto"/>
              </w:rPr>
              <w:t>0,</w:t>
            </w:r>
            <w:r w:rsidR="00F03D24" w:rsidRPr="00F03D24">
              <w:rPr>
                <w:color w:val="auto"/>
              </w:rPr>
              <w:t>218</w:t>
            </w:r>
          </w:p>
        </w:tc>
      </w:tr>
      <w:tr w:rsidR="005041D0" w:rsidRPr="00D66167" w14:paraId="3150554A" w14:textId="77777777" w:rsidTr="00D00416">
        <w:trPr>
          <w:trHeight w:val="315"/>
          <w:jc w:val="center"/>
        </w:trPr>
        <w:tc>
          <w:tcPr>
            <w:tcW w:w="3069" w:type="dxa"/>
            <w:tcBorders>
              <w:top w:val="nil"/>
              <w:left w:val="single" w:sz="4" w:space="0" w:color="auto"/>
              <w:bottom w:val="nil"/>
              <w:right w:val="nil"/>
            </w:tcBorders>
            <w:shd w:val="clear" w:color="auto" w:fill="B4C6E7" w:themeFill="accent1" w:themeFillTint="66"/>
            <w:noWrap/>
            <w:vAlign w:val="bottom"/>
          </w:tcPr>
          <w:p w14:paraId="26C8A369" w14:textId="77777777" w:rsidR="005041D0" w:rsidRPr="00F37CA6" w:rsidRDefault="005041D0" w:rsidP="00D00416">
            <w:pPr>
              <w:jc w:val="right"/>
              <w:rPr>
                <w:color w:val="auto"/>
              </w:rPr>
            </w:pPr>
            <w:r w:rsidRPr="00F37CA6">
              <w:rPr>
                <w:color w:val="auto"/>
              </w:rPr>
              <w:t>lokality s dopravní zátěží</w:t>
            </w:r>
          </w:p>
        </w:tc>
        <w:tc>
          <w:tcPr>
            <w:tcW w:w="1080" w:type="dxa"/>
            <w:tcBorders>
              <w:top w:val="nil"/>
              <w:left w:val="single" w:sz="4" w:space="0" w:color="auto"/>
              <w:bottom w:val="nil"/>
              <w:right w:val="nil"/>
            </w:tcBorders>
            <w:shd w:val="clear" w:color="auto" w:fill="auto"/>
            <w:noWrap/>
            <w:vAlign w:val="center"/>
          </w:tcPr>
          <w:p w14:paraId="7A31BA66" w14:textId="610F1F16" w:rsidR="005041D0" w:rsidRPr="00B77962" w:rsidRDefault="005041D0" w:rsidP="00B77962">
            <w:pPr>
              <w:jc w:val="center"/>
              <w:rPr>
                <w:color w:val="auto"/>
              </w:rPr>
            </w:pPr>
            <w:r w:rsidRPr="00B77962">
              <w:rPr>
                <w:color w:val="auto"/>
              </w:rPr>
              <w:t>0,</w:t>
            </w:r>
            <w:r w:rsidR="00B77962" w:rsidRPr="00B77962">
              <w:rPr>
                <w:color w:val="auto"/>
              </w:rPr>
              <w:t>74</w:t>
            </w:r>
          </w:p>
        </w:tc>
        <w:tc>
          <w:tcPr>
            <w:tcW w:w="909" w:type="dxa"/>
            <w:tcBorders>
              <w:top w:val="nil"/>
              <w:left w:val="nil"/>
              <w:bottom w:val="nil"/>
              <w:right w:val="nil"/>
            </w:tcBorders>
            <w:shd w:val="clear" w:color="auto" w:fill="auto"/>
            <w:noWrap/>
            <w:vAlign w:val="center"/>
          </w:tcPr>
          <w:p w14:paraId="60C8D14A" w14:textId="401AD857" w:rsidR="005041D0" w:rsidRPr="00B77962" w:rsidRDefault="005041D0" w:rsidP="00B77962">
            <w:pPr>
              <w:jc w:val="center"/>
              <w:rPr>
                <w:color w:val="auto"/>
              </w:rPr>
            </w:pPr>
            <w:r w:rsidRPr="00B77962">
              <w:rPr>
                <w:color w:val="auto"/>
              </w:rPr>
              <w:t>3,</w:t>
            </w:r>
            <w:r w:rsidR="00B77962" w:rsidRPr="00B77962">
              <w:rPr>
                <w:color w:val="auto"/>
              </w:rPr>
              <w:t>41</w:t>
            </w:r>
          </w:p>
        </w:tc>
        <w:tc>
          <w:tcPr>
            <w:tcW w:w="1251" w:type="dxa"/>
            <w:tcBorders>
              <w:top w:val="nil"/>
              <w:left w:val="single" w:sz="4" w:space="0" w:color="auto"/>
              <w:bottom w:val="nil"/>
              <w:right w:val="nil"/>
            </w:tcBorders>
            <w:shd w:val="clear" w:color="auto" w:fill="auto"/>
            <w:noWrap/>
            <w:vAlign w:val="center"/>
          </w:tcPr>
          <w:p w14:paraId="1311F600" w14:textId="2CE586E6" w:rsidR="005041D0" w:rsidRPr="004D1DD3" w:rsidRDefault="004D1DD3" w:rsidP="004D1DD3">
            <w:pPr>
              <w:jc w:val="center"/>
              <w:rPr>
                <w:color w:val="auto"/>
              </w:rPr>
            </w:pPr>
            <w:r w:rsidRPr="004D1DD3">
              <w:rPr>
                <w:color w:val="auto"/>
              </w:rPr>
              <w:t>1</w:t>
            </w:r>
            <w:r w:rsidR="005041D0" w:rsidRPr="004D1DD3">
              <w:rPr>
                <w:color w:val="auto"/>
              </w:rPr>
              <w:t>,</w:t>
            </w:r>
            <w:r w:rsidRPr="004D1DD3">
              <w:rPr>
                <w:color w:val="auto"/>
              </w:rPr>
              <w:t>11</w:t>
            </w:r>
            <w:r w:rsidR="005041D0" w:rsidRPr="004D1DD3">
              <w:rPr>
                <w:color w:val="auto"/>
              </w:rPr>
              <w:t>E-</w:t>
            </w:r>
            <w:r w:rsidRPr="004D1DD3">
              <w:rPr>
                <w:color w:val="auto"/>
              </w:rPr>
              <w:t>6</w:t>
            </w:r>
          </w:p>
        </w:tc>
        <w:tc>
          <w:tcPr>
            <w:tcW w:w="1089" w:type="dxa"/>
            <w:tcBorders>
              <w:top w:val="nil"/>
              <w:left w:val="nil"/>
              <w:bottom w:val="nil"/>
              <w:right w:val="single" w:sz="4" w:space="0" w:color="auto"/>
            </w:tcBorders>
            <w:shd w:val="clear" w:color="auto" w:fill="auto"/>
            <w:noWrap/>
            <w:vAlign w:val="center"/>
          </w:tcPr>
          <w:p w14:paraId="331729FA" w14:textId="3CC9371B" w:rsidR="005041D0" w:rsidRPr="004D1DD3" w:rsidRDefault="004D1DD3" w:rsidP="004D1DD3">
            <w:pPr>
              <w:jc w:val="center"/>
              <w:rPr>
                <w:color w:val="auto"/>
              </w:rPr>
            </w:pPr>
            <w:r w:rsidRPr="004D1DD3">
              <w:rPr>
                <w:color w:val="auto"/>
              </w:rPr>
              <w:t>5</w:t>
            </w:r>
            <w:r w:rsidR="005041D0" w:rsidRPr="004D1DD3">
              <w:rPr>
                <w:color w:val="auto"/>
              </w:rPr>
              <w:t>,</w:t>
            </w:r>
            <w:r w:rsidRPr="004D1DD3">
              <w:rPr>
                <w:color w:val="auto"/>
              </w:rPr>
              <w:t>12</w:t>
            </w:r>
            <w:r w:rsidR="005041D0" w:rsidRPr="004D1DD3">
              <w:rPr>
                <w:color w:val="auto"/>
              </w:rPr>
              <w:t>E-6</w:t>
            </w:r>
          </w:p>
        </w:tc>
        <w:tc>
          <w:tcPr>
            <w:tcW w:w="1063" w:type="dxa"/>
            <w:tcBorders>
              <w:top w:val="nil"/>
              <w:left w:val="nil"/>
              <w:bottom w:val="nil"/>
              <w:right w:val="nil"/>
            </w:tcBorders>
            <w:shd w:val="clear" w:color="auto" w:fill="auto"/>
            <w:noWrap/>
            <w:vAlign w:val="center"/>
          </w:tcPr>
          <w:p w14:paraId="1AB23CB5" w14:textId="54CEC9DC" w:rsidR="005041D0" w:rsidRPr="00F03D24" w:rsidRDefault="005041D0" w:rsidP="00F03D24">
            <w:pPr>
              <w:jc w:val="center"/>
              <w:rPr>
                <w:color w:val="auto"/>
              </w:rPr>
            </w:pPr>
            <w:r w:rsidRPr="00F03D24">
              <w:rPr>
                <w:color w:val="auto"/>
              </w:rPr>
              <w:t>0,0</w:t>
            </w:r>
            <w:r w:rsidR="00F03D24" w:rsidRPr="00F03D24">
              <w:rPr>
                <w:color w:val="auto"/>
              </w:rPr>
              <w:t>83</w:t>
            </w:r>
          </w:p>
        </w:tc>
        <w:tc>
          <w:tcPr>
            <w:tcW w:w="942" w:type="dxa"/>
            <w:tcBorders>
              <w:top w:val="nil"/>
              <w:left w:val="nil"/>
              <w:bottom w:val="nil"/>
              <w:right w:val="single" w:sz="4" w:space="0" w:color="auto"/>
            </w:tcBorders>
            <w:shd w:val="clear" w:color="auto" w:fill="auto"/>
            <w:noWrap/>
            <w:vAlign w:val="center"/>
          </w:tcPr>
          <w:p w14:paraId="42CF99E9" w14:textId="7774F9DC" w:rsidR="005041D0" w:rsidRPr="00F03D24" w:rsidRDefault="005041D0" w:rsidP="00F03D24">
            <w:pPr>
              <w:jc w:val="center"/>
              <w:rPr>
                <w:color w:val="auto"/>
              </w:rPr>
            </w:pPr>
            <w:r w:rsidRPr="00F03D24">
              <w:rPr>
                <w:color w:val="auto"/>
              </w:rPr>
              <w:t>0,3</w:t>
            </w:r>
            <w:r w:rsidR="00F03D24" w:rsidRPr="00F03D24">
              <w:rPr>
                <w:color w:val="auto"/>
              </w:rPr>
              <w:t>8</w:t>
            </w:r>
            <w:r w:rsidRPr="00F03D24">
              <w:rPr>
                <w:color w:val="auto"/>
              </w:rPr>
              <w:t>4</w:t>
            </w:r>
          </w:p>
        </w:tc>
      </w:tr>
      <w:tr w:rsidR="005041D0" w:rsidRPr="00D66167" w14:paraId="5B30D135" w14:textId="77777777" w:rsidTr="00D00416">
        <w:trPr>
          <w:trHeight w:val="315"/>
          <w:jc w:val="center"/>
        </w:trPr>
        <w:tc>
          <w:tcPr>
            <w:tcW w:w="3069" w:type="dxa"/>
            <w:tcBorders>
              <w:top w:val="nil"/>
              <w:left w:val="single" w:sz="4" w:space="0" w:color="auto"/>
              <w:bottom w:val="single" w:sz="4" w:space="0" w:color="auto"/>
              <w:right w:val="nil"/>
            </w:tcBorders>
            <w:shd w:val="clear" w:color="auto" w:fill="B4C6E7" w:themeFill="accent1" w:themeFillTint="66"/>
            <w:noWrap/>
            <w:vAlign w:val="bottom"/>
          </w:tcPr>
          <w:p w14:paraId="71E4C2F5" w14:textId="77777777" w:rsidR="005041D0" w:rsidRPr="00F37CA6" w:rsidRDefault="005041D0" w:rsidP="00D00416">
            <w:pPr>
              <w:jc w:val="right"/>
              <w:rPr>
                <w:color w:val="auto"/>
              </w:rPr>
            </w:pPr>
            <w:r w:rsidRPr="00F37CA6">
              <w:rPr>
                <w:color w:val="auto"/>
              </w:rPr>
              <w:t>průmyslové lokality</w:t>
            </w:r>
          </w:p>
        </w:tc>
        <w:tc>
          <w:tcPr>
            <w:tcW w:w="1080" w:type="dxa"/>
            <w:tcBorders>
              <w:top w:val="nil"/>
              <w:left w:val="single" w:sz="4" w:space="0" w:color="auto"/>
              <w:bottom w:val="single" w:sz="4" w:space="0" w:color="auto"/>
              <w:right w:val="nil"/>
            </w:tcBorders>
            <w:shd w:val="clear" w:color="auto" w:fill="auto"/>
            <w:noWrap/>
            <w:vAlign w:val="center"/>
          </w:tcPr>
          <w:p w14:paraId="7018315A" w14:textId="4C96E326" w:rsidR="005041D0" w:rsidRPr="00241746" w:rsidRDefault="00B77962" w:rsidP="00B77962">
            <w:pPr>
              <w:jc w:val="center"/>
              <w:rPr>
                <w:color w:val="auto"/>
              </w:rPr>
            </w:pPr>
            <w:r w:rsidRPr="00241746">
              <w:rPr>
                <w:color w:val="auto"/>
              </w:rPr>
              <w:t>1</w:t>
            </w:r>
            <w:r w:rsidR="005041D0" w:rsidRPr="00241746">
              <w:rPr>
                <w:color w:val="auto"/>
              </w:rPr>
              <w:t>,</w:t>
            </w:r>
            <w:r w:rsidRPr="00241746">
              <w:rPr>
                <w:color w:val="auto"/>
              </w:rPr>
              <w:t>18</w:t>
            </w:r>
          </w:p>
        </w:tc>
        <w:tc>
          <w:tcPr>
            <w:tcW w:w="909" w:type="dxa"/>
            <w:tcBorders>
              <w:top w:val="nil"/>
              <w:left w:val="nil"/>
              <w:bottom w:val="single" w:sz="4" w:space="0" w:color="auto"/>
              <w:right w:val="nil"/>
            </w:tcBorders>
            <w:shd w:val="clear" w:color="auto" w:fill="auto"/>
            <w:noWrap/>
            <w:vAlign w:val="center"/>
          </w:tcPr>
          <w:p w14:paraId="6B2A4FBD" w14:textId="33C53685" w:rsidR="005041D0" w:rsidRPr="00241746" w:rsidRDefault="00B77962" w:rsidP="00B77962">
            <w:pPr>
              <w:jc w:val="center"/>
              <w:rPr>
                <w:color w:val="auto"/>
              </w:rPr>
            </w:pPr>
            <w:r w:rsidRPr="00241746">
              <w:rPr>
                <w:color w:val="auto"/>
              </w:rPr>
              <w:t>3</w:t>
            </w:r>
            <w:r w:rsidR="005041D0" w:rsidRPr="00241746">
              <w:rPr>
                <w:color w:val="auto"/>
              </w:rPr>
              <w:t>,</w:t>
            </w:r>
            <w:r w:rsidRPr="00241746">
              <w:rPr>
                <w:color w:val="auto"/>
              </w:rPr>
              <w:t>58</w:t>
            </w:r>
          </w:p>
        </w:tc>
        <w:tc>
          <w:tcPr>
            <w:tcW w:w="1251" w:type="dxa"/>
            <w:tcBorders>
              <w:top w:val="nil"/>
              <w:left w:val="single" w:sz="4" w:space="0" w:color="auto"/>
              <w:bottom w:val="single" w:sz="4" w:space="0" w:color="auto"/>
              <w:right w:val="nil"/>
            </w:tcBorders>
            <w:shd w:val="clear" w:color="auto" w:fill="auto"/>
            <w:noWrap/>
            <w:vAlign w:val="center"/>
          </w:tcPr>
          <w:p w14:paraId="51420437" w14:textId="3B0BF8FB" w:rsidR="005041D0" w:rsidRPr="004D1DD3" w:rsidRDefault="005041D0" w:rsidP="004D1DD3">
            <w:pPr>
              <w:jc w:val="center"/>
              <w:rPr>
                <w:color w:val="auto"/>
              </w:rPr>
            </w:pPr>
            <w:r w:rsidRPr="004D1DD3">
              <w:rPr>
                <w:color w:val="auto"/>
              </w:rPr>
              <w:t>1,</w:t>
            </w:r>
            <w:r w:rsidR="004D1DD3" w:rsidRPr="004D1DD3">
              <w:rPr>
                <w:color w:val="auto"/>
              </w:rPr>
              <w:t>77</w:t>
            </w:r>
            <w:r w:rsidRPr="004D1DD3">
              <w:rPr>
                <w:color w:val="auto"/>
              </w:rPr>
              <w:t>E-6</w:t>
            </w:r>
          </w:p>
        </w:tc>
        <w:tc>
          <w:tcPr>
            <w:tcW w:w="1089" w:type="dxa"/>
            <w:tcBorders>
              <w:top w:val="nil"/>
              <w:left w:val="nil"/>
              <w:bottom w:val="single" w:sz="4" w:space="0" w:color="auto"/>
              <w:right w:val="single" w:sz="4" w:space="0" w:color="auto"/>
            </w:tcBorders>
            <w:shd w:val="clear" w:color="auto" w:fill="auto"/>
            <w:noWrap/>
            <w:vAlign w:val="center"/>
          </w:tcPr>
          <w:p w14:paraId="6CA883E0" w14:textId="15058594" w:rsidR="005041D0" w:rsidRPr="004D1DD3" w:rsidRDefault="004D1DD3" w:rsidP="004D1DD3">
            <w:pPr>
              <w:jc w:val="center"/>
              <w:rPr>
                <w:color w:val="auto"/>
              </w:rPr>
            </w:pPr>
            <w:r w:rsidRPr="004D1DD3">
              <w:rPr>
                <w:color w:val="auto"/>
              </w:rPr>
              <w:t>5</w:t>
            </w:r>
            <w:r w:rsidR="005041D0" w:rsidRPr="004D1DD3">
              <w:rPr>
                <w:color w:val="auto"/>
              </w:rPr>
              <w:t>,</w:t>
            </w:r>
            <w:r w:rsidRPr="004D1DD3">
              <w:rPr>
                <w:color w:val="auto"/>
              </w:rPr>
              <w:t>37</w:t>
            </w:r>
            <w:r w:rsidR="005041D0" w:rsidRPr="004D1DD3">
              <w:rPr>
                <w:color w:val="auto"/>
              </w:rPr>
              <w:t>E-6</w:t>
            </w:r>
          </w:p>
        </w:tc>
        <w:tc>
          <w:tcPr>
            <w:tcW w:w="1063" w:type="dxa"/>
            <w:tcBorders>
              <w:top w:val="nil"/>
              <w:left w:val="nil"/>
              <w:bottom w:val="single" w:sz="4" w:space="0" w:color="auto"/>
              <w:right w:val="nil"/>
            </w:tcBorders>
            <w:shd w:val="clear" w:color="auto" w:fill="auto"/>
            <w:noWrap/>
            <w:vAlign w:val="center"/>
          </w:tcPr>
          <w:p w14:paraId="17D816AC" w14:textId="46BD6BCC" w:rsidR="005041D0" w:rsidRPr="00F03D24" w:rsidRDefault="005041D0" w:rsidP="00F03D24">
            <w:pPr>
              <w:jc w:val="center"/>
              <w:rPr>
                <w:color w:val="auto"/>
              </w:rPr>
            </w:pPr>
            <w:r w:rsidRPr="00F03D24">
              <w:rPr>
                <w:color w:val="auto"/>
              </w:rPr>
              <w:t>0,</w:t>
            </w:r>
            <w:r w:rsidR="00F03D24" w:rsidRPr="00F03D24">
              <w:rPr>
                <w:color w:val="auto"/>
              </w:rPr>
              <w:t>133</w:t>
            </w:r>
          </w:p>
        </w:tc>
        <w:tc>
          <w:tcPr>
            <w:tcW w:w="942" w:type="dxa"/>
            <w:tcBorders>
              <w:top w:val="nil"/>
              <w:left w:val="nil"/>
              <w:bottom w:val="single" w:sz="4" w:space="0" w:color="auto"/>
              <w:right w:val="single" w:sz="4" w:space="0" w:color="auto"/>
            </w:tcBorders>
            <w:shd w:val="clear" w:color="auto" w:fill="auto"/>
            <w:noWrap/>
            <w:vAlign w:val="center"/>
          </w:tcPr>
          <w:p w14:paraId="57EA8658" w14:textId="7F4218DE" w:rsidR="005041D0" w:rsidRPr="00F03D24" w:rsidRDefault="005041D0" w:rsidP="00F03D24">
            <w:pPr>
              <w:jc w:val="center"/>
              <w:rPr>
                <w:color w:val="auto"/>
              </w:rPr>
            </w:pPr>
            <w:r w:rsidRPr="00F03D24">
              <w:rPr>
                <w:color w:val="auto"/>
              </w:rPr>
              <w:t>0,</w:t>
            </w:r>
            <w:r w:rsidR="00F03D24" w:rsidRPr="00F03D24">
              <w:rPr>
                <w:color w:val="auto"/>
              </w:rPr>
              <w:t>403</w:t>
            </w:r>
          </w:p>
        </w:tc>
      </w:tr>
    </w:tbl>
    <w:p w14:paraId="669A1408" w14:textId="77777777" w:rsidR="005041D0" w:rsidRDefault="005041D0" w:rsidP="005041D0">
      <w:pPr>
        <w:jc w:val="both"/>
        <w:rPr>
          <w:i/>
          <w:color w:val="auto"/>
        </w:rPr>
      </w:pPr>
      <w:r w:rsidRPr="00F37CA6">
        <w:rPr>
          <w:noProof/>
          <w:color w:val="auto"/>
          <w:sz w:val="22"/>
          <w:szCs w:val="22"/>
          <w:lang w:eastAsia="cs-CZ"/>
        </w:rPr>
        <w:drawing>
          <wp:anchor distT="0" distB="0" distL="114300" distR="114300" simplePos="0" relativeHeight="251684864" behindDoc="0" locked="0" layoutInCell="1" allowOverlap="0" wp14:anchorId="06FF08D3" wp14:editId="0DECF429">
            <wp:simplePos x="0" y="0"/>
            <wp:positionH relativeFrom="column">
              <wp:posOffset>255270</wp:posOffset>
            </wp:positionH>
            <wp:positionV relativeFrom="page">
              <wp:posOffset>6822440</wp:posOffset>
            </wp:positionV>
            <wp:extent cx="5760000" cy="2041200"/>
            <wp:effectExtent l="0" t="0" r="0" b="0"/>
            <wp:wrapTopAndBottom/>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00" cy="204120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Pr="00F37CA6">
        <w:rPr>
          <w:i/>
          <w:color w:val="auto"/>
        </w:rPr>
        <w:t>Pozn</w:t>
      </w:r>
      <w:proofErr w:type="spellEnd"/>
      <w:r w:rsidRPr="00F37CA6">
        <w:rPr>
          <w:i/>
          <w:color w:val="auto"/>
        </w:rPr>
        <w:t>: Maximální hodnota v ČR byla naměřena na stanici SKLC (</w:t>
      </w:r>
      <w:proofErr w:type="spellStart"/>
      <w:r w:rsidRPr="00F37CA6">
        <w:rPr>
          <w:i/>
          <w:color w:val="auto"/>
        </w:rPr>
        <w:t>Vrapice</w:t>
      </w:r>
      <w:proofErr w:type="spellEnd"/>
      <w:r w:rsidRPr="00F37CA6">
        <w:rPr>
          <w:i/>
          <w:color w:val="auto"/>
        </w:rPr>
        <w:t xml:space="preserve">) – 5,25 </w:t>
      </w:r>
      <w:proofErr w:type="spellStart"/>
      <w:r w:rsidRPr="00F37CA6">
        <w:rPr>
          <w:i/>
          <w:color w:val="auto"/>
        </w:rPr>
        <w:t>ng</w:t>
      </w:r>
      <w:proofErr w:type="spellEnd"/>
      <w:r w:rsidRPr="00F37CA6">
        <w:rPr>
          <w:i/>
          <w:color w:val="auto"/>
        </w:rPr>
        <w:t>/m</w:t>
      </w:r>
      <w:r w:rsidRPr="00F37CA6">
        <w:rPr>
          <w:i/>
          <w:color w:val="auto"/>
          <w:vertAlign w:val="superscript"/>
        </w:rPr>
        <w:t>3</w:t>
      </w:r>
      <w:r w:rsidRPr="00F37CA6">
        <w:rPr>
          <w:i/>
          <w:color w:val="auto"/>
        </w:rPr>
        <w:t>/rok. Hodnota representuje vesnická a předměstská sídla, vyšší výskyt lokálních topenišť na pevná paliva.</w:t>
      </w:r>
    </w:p>
    <w:p w14:paraId="1C77EA57" w14:textId="6241C134" w:rsidR="005041D0" w:rsidRPr="005041D0" w:rsidRDefault="005041D0" w:rsidP="005041D0">
      <w:pPr>
        <w:jc w:val="both"/>
        <w:rPr>
          <w:i/>
          <w:color w:val="auto"/>
        </w:rPr>
      </w:pPr>
      <w:r w:rsidRPr="00F37CA6">
        <w:rPr>
          <w:color w:val="auto"/>
          <w:sz w:val="22"/>
          <w:szCs w:val="22"/>
        </w:rPr>
        <w:t xml:space="preserve">Graf č. </w:t>
      </w:r>
      <w:r w:rsidR="00D00416">
        <w:rPr>
          <w:color w:val="auto"/>
          <w:sz w:val="22"/>
          <w:szCs w:val="22"/>
        </w:rPr>
        <w:t>4</w:t>
      </w:r>
      <w:r w:rsidRPr="00F37CA6">
        <w:rPr>
          <w:color w:val="auto"/>
          <w:sz w:val="22"/>
          <w:szCs w:val="22"/>
        </w:rPr>
        <w:t xml:space="preserve"> </w:t>
      </w:r>
      <w:r>
        <w:rPr>
          <w:color w:val="auto"/>
          <w:sz w:val="22"/>
          <w:szCs w:val="22"/>
        </w:rPr>
        <w:t xml:space="preserve">As - </w:t>
      </w:r>
      <w:r w:rsidR="005A7674">
        <w:rPr>
          <w:color w:val="auto"/>
          <w:sz w:val="22"/>
          <w:szCs w:val="22"/>
        </w:rPr>
        <w:t>R</w:t>
      </w:r>
      <w:r w:rsidRPr="00F37CA6">
        <w:rPr>
          <w:color w:val="auto"/>
          <w:sz w:val="22"/>
          <w:szCs w:val="22"/>
        </w:rPr>
        <w:t>ozpětí teoretického odhadu pravděpodobnosti zvýšení počtu nádorových onemocnění v roce 2022 v ČR a pro jednotlivé typy městských lokalit</w:t>
      </w:r>
    </w:p>
    <w:p w14:paraId="632382C9" w14:textId="2311A897" w:rsidR="005041D0" w:rsidRPr="006B5E35" w:rsidRDefault="005041D0" w:rsidP="005041D0">
      <w:pPr>
        <w:pStyle w:val="DefaultText1"/>
        <w:spacing w:before="120" w:line="276" w:lineRule="auto"/>
        <w:jc w:val="both"/>
        <w:rPr>
          <w:rFonts w:ascii="Mulish" w:hAnsi="Mulish"/>
          <w:bCs/>
          <w:sz w:val="22"/>
          <w:szCs w:val="22"/>
        </w:rPr>
      </w:pPr>
      <w:r w:rsidRPr="006B5E35">
        <w:rPr>
          <w:rFonts w:ascii="Mulish" w:hAnsi="Mulish"/>
          <w:bCs/>
          <w:sz w:val="22"/>
          <w:szCs w:val="22"/>
        </w:rPr>
        <w:lastRenderedPageBreak/>
        <w:t xml:space="preserve">Roční střední hodnota z pozaďových stanic byla 0,57 </w:t>
      </w:r>
      <w:proofErr w:type="spellStart"/>
      <w:r w:rsidRPr="006B5E35">
        <w:rPr>
          <w:rFonts w:ascii="Mulish" w:hAnsi="Mulish"/>
          <w:bCs/>
          <w:sz w:val="22"/>
          <w:szCs w:val="22"/>
        </w:rPr>
        <w:t>ng</w:t>
      </w:r>
      <w:proofErr w:type="spellEnd"/>
      <w:r w:rsidRPr="006B5E35">
        <w:rPr>
          <w:rFonts w:ascii="Mulish" w:hAnsi="Mulish"/>
          <w:bCs/>
          <w:sz w:val="22"/>
          <w:szCs w:val="22"/>
        </w:rPr>
        <w:t>/m</w:t>
      </w:r>
      <w:r w:rsidRPr="006B5E35">
        <w:rPr>
          <w:rFonts w:ascii="Mulish" w:hAnsi="Mulish"/>
          <w:bCs/>
          <w:sz w:val="22"/>
          <w:szCs w:val="22"/>
          <w:vertAlign w:val="superscript"/>
        </w:rPr>
        <w:t>3</w:t>
      </w:r>
      <w:r w:rsidRPr="006B5E35">
        <w:rPr>
          <w:rFonts w:ascii="Mulish" w:hAnsi="Mulish"/>
          <w:bCs/>
          <w:sz w:val="22"/>
          <w:szCs w:val="22"/>
        </w:rPr>
        <w:t xml:space="preserve">, odhad průměrné hodnoty v obydlených městských oblastech je 1,49 </w:t>
      </w:r>
      <w:proofErr w:type="spellStart"/>
      <w:r w:rsidRPr="006B5E35">
        <w:rPr>
          <w:rFonts w:ascii="Mulish" w:hAnsi="Mulish"/>
          <w:bCs/>
          <w:sz w:val="22"/>
          <w:szCs w:val="22"/>
        </w:rPr>
        <w:t>ng</w:t>
      </w:r>
      <w:proofErr w:type="spellEnd"/>
      <w:r w:rsidRPr="006B5E35">
        <w:rPr>
          <w:rFonts w:ascii="Mulish" w:hAnsi="Mulish"/>
          <w:bCs/>
          <w:sz w:val="22"/>
          <w:szCs w:val="22"/>
        </w:rPr>
        <w:t>/m</w:t>
      </w:r>
      <w:r w:rsidRPr="006B5E35">
        <w:rPr>
          <w:rFonts w:ascii="Mulish" w:hAnsi="Mulish"/>
          <w:bCs/>
          <w:sz w:val="22"/>
          <w:szCs w:val="22"/>
          <w:vertAlign w:val="superscript"/>
        </w:rPr>
        <w:t>3</w:t>
      </w:r>
      <w:r w:rsidRPr="006B5E35">
        <w:rPr>
          <w:rFonts w:ascii="Mulish" w:hAnsi="Mulish"/>
          <w:bCs/>
          <w:sz w:val="22"/>
          <w:szCs w:val="22"/>
        </w:rPr>
        <w:t>. Vyšší hodnoty (</w:t>
      </w:r>
      <w:r w:rsidRPr="006B5E35">
        <w:rPr>
          <w:rFonts w:ascii="Mulish" w:hAnsi="Mulish"/>
          <w:bCs/>
          <w:sz w:val="22"/>
          <w:szCs w:val="22"/>
          <w:lang w:val="en-GB"/>
        </w:rPr>
        <w:t>&gt; 2 ng/m</w:t>
      </w:r>
      <w:r w:rsidRPr="006B5E35">
        <w:rPr>
          <w:rFonts w:ascii="Mulish" w:hAnsi="Mulish"/>
          <w:bCs/>
          <w:sz w:val="22"/>
          <w:szCs w:val="22"/>
          <w:vertAlign w:val="superscript"/>
          <w:lang w:val="en-GB"/>
        </w:rPr>
        <w:t>3</w:t>
      </w:r>
      <w:r w:rsidRPr="006B5E35">
        <w:rPr>
          <w:rFonts w:ascii="Mulish" w:hAnsi="Mulish"/>
          <w:bCs/>
          <w:sz w:val="22"/>
          <w:szCs w:val="22"/>
        </w:rPr>
        <w:t>) byly měřeny na příměstských</w:t>
      </w:r>
      <w:r>
        <w:rPr>
          <w:rFonts w:ascii="Mulish" w:hAnsi="Mulish"/>
          <w:bCs/>
          <w:sz w:val="22"/>
          <w:szCs w:val="22"/>
        </w:rPr>
        <w:t>/vesnických</w:t>
      </w:r>
      <w:r w:rsidRPr="006B5E35">
        <w:rPr>
          <w:rFonts w:ascii="Mulish" w:hAnsi="Mulish"/>
          <w:bCs/>
          <w:sz w:val="22"/>
          <w:szCs w:val="22"/>
        </w:rPr>
        <w:t xml:space="preserve"> a některých průmyslových stanicích. </w:t>
      </w:r>
      <w:r w:rsidR="001E1321">
        <w:rPr>
          <w:rFonts w:ascii="Mulish" w:hAnsi="Mulish"/>
          <w:bCs/>
          <w:sz w:val="22"/>
          <w:szCs w:val="22"/>
        </w:rPr>
        <w:t>Hodnoty jsou m</w:t>
      </w:r>
      <w:r w:rsidRPr="006B5E35">
        <w:rPr>
          <w:rFonts w:ascii="Mulish" w:hAnsi="Mulish"/>
          <w:bCs/>
          <w:sz w:val="22"/>
          <w:szCs w:val="22"/>
        </w:rPr>
        <w:t>eziročně mírně zvýšené.</w:t>
      </w:r>
    </w:p>
    <w:p w14:paraId="4242101E" w14:textId="317288DC" w:rsidR="005041D0" w:rsidRPr="00154714" w:rsidRDefault="005041D0" w:rsidP="005041D0">
      <w:pPr>
        <w:spacing w:before="120"/>
        <w:jc w:val="both"/>
        <w:rPr>
          <w:b/>
          <w:color w:val="auto"/>
          <w:sz w:val="22"/>
          <w:szCs w:val="22"/>
        </w:rPr>
      </w:pPr>
      <w:r w:rsidRPr="00154714">
        <w:rPr>
          <w:b/>
          <w:color w:val="auto"/>
          <w:sz w:val="22"/>
          <w:szCs w:val="22"/>
        </w:rPr>
        <w:t xml:space="preserve">Individuální karcinogenní riziko odhadované na základě potenciální expozice koncentracím arsenu se v městských lokalitách pohybuje ve společensky přijatelném rozmezí </w:t>
      </w:r>
      <w:r w:rsidR="00061932" w:rsidRPr="00154714">
        <w:rPr>
          <w:b/>
          <w:color w:val="auto"/>
          <w:sz w:val="22"/>
          <w:szCs w:val="22"/>
        </w:rPr>
        <w:t xml:space="preserve">jednoho řádu </w:t>
      </w:r>
      <w:r w:rsidRPr="00154714">
        <w:rPr>
          <w:b/>
          <w:color w:val="auto"/>
          <w:sz w:val="22"/>
          <w:szCs w:val="22"/>
        </w:rPr>
        <w:t xml:space="preserve">od </w:t>
      </w:r>
      <w:r w:rsidR="00061932" w:rsidRPr="00154714">
        <w:rPr>
          <w:b/>
          <w:color w:val="auto"/>
          <w:sz w:val="22"/>
          <w:szCs w:val="22"/>
        </w:rPr>
        <w:t>8</w:t>
      </w:r>
      <w:r w:rsidRPr="00154714">
        <w:rPr>
          <w:b/>
          <w:color w:val="auto"/>
          <w:sz w:val="22"/>
          <w:szCs w:val="22"/>
        </w:rPr>
        <w:t xml:space="preserve"> případů na deset miliónů do </w:t>
      </w:r>
      <w:r w:rsidR="00061932" w:rsidRPr="00154714">
        <w:rPr>
          <w:b/>
          <w:color w:val="auto"/>
          <w:sz w:val="22"/>
          <w:szCs w:val="22"/>
        </w:rPr>
        <w:t>osmi</w:t>
      </w:r>
      <w:r w:rsidRPr="00154714">
        <w:rPr>
          <w:b/>
          <w:color w:val="auto"/>
          <w:sz w:val="22"/>
          <w:szCs w:val="22"/>
        </w:rPr>
        <w:t xml:space="preserve"> případů na milión obyvatel za 70 let. Populační riziko spočtené na základě odhadu střední hodnoty v sídlech v roce 202</w:t>
      </w:r>
      <w:r w:rsidR="00061932" w:rsidRPr="00154714">
        <w:rPr>
          <w:b/>
          <w:color w:val="auto"/>
          <w:sz w:val="22"/>
          <w:szCs w:val="22"/>
        </w:rPr>
        <w:t>2</w:t>
      </w:r>
      <w:r w:rsidRPr="00154714">
        <w:rPr>
          <w:b/>
          <w:color w:val="auto"/>
          <w:sz w:val="22"/>
          <w:szCs w:val="22"/>
        </w:rPr>
        <w:t xml:space="preserve"> </w:t>
      </w:r>
      <w:r w:rsidR="00061932" w:rsidRPr="00154714">
        <w:rPr>
          <w:b/>
          <w:color w:val="auto"/>
          <w:sz w:val="22"/>
          <w:szCs w:val="22"/>
        </w:rPr>
        <w:t xml:space="preserve">(1,49 </w:t>
      </w:r>
      <w:proofErr w:type="spellStart"/>
      <w:r w:rsidR="00061932" w:rsidRPr="00154714">
        <w:rPr>
          <w:b/>
          <w:color w:val="auto"/>
          <w:sz w:val="22"/>
          <w:szCs w:val="22"/>
        </w:rPr>
        <w:t>ng</w:t>
      </w:r>
      <w:proofErr w:type="spellEnd"/>
      <w:r w:rsidR="00061932" w:rsidRPr="00154714">
        <w:rPr>
          <w:b/>
          <w:color w:val="auto"/>
          <w:sz w:val="22"/>
          <w:szCs w:val="22"/>
        </w:rPr>
        <w:t>/m</w:t>
      </w:r>
      <w:r w:rsidR="00061932" w:rsidRPr="00154714">
        <w:rPr>
          <w:b/>
          <w:color w:val="auto"/>
          <w:sz w:val="22"/>
          <w:szCs w:val="22"/>
          <w:vertAlign w:val="superscript"/>
        </w:rPr>
        <w:t>3</w:t>
      </w:r>
      <w:r w:rsidR="00061932" w:rsidRPr="00154714">
        <w:rPr>
          <w:b/>
          <w:color w:val="auto"/>
          <w:sz w:val="22"/>
          <w:szCs w:val="22"/>
        </w:rPr>
        <w:t xml:space="preserve">) </w:t>
      </w:r>
      <w:r w:rsidRPr="00154714">
        <w:rPr>
          <w:b/>
          <w:color w:val="auto"/>
          <w:sz w:val="22"/>
          <w:szCs w:val="22"/>
        </w:rPr>
        <w:t>představuje na deset a půl miliónu obyvatel ČR 0,</w:t>
      </w:r>
      <w:r w:rsidR="00061932" w:rsidRPr="00154714">
        <w:rPr>
          <w:b/>
          <w:color w:val="auto"/>
          <w:sz w:val="22"/>
          <w:szCs w:val="22"/>
        </w:rPr>
        <w:t>34</w:t>
      </w:r>
      <w:r w:rsidRPr="00154714">
        <w:rPr>
          <w:b/>
          <w:color w:val="auto"/>
          <w:sz w:val="22"/>
          <w:szCs w:val="22"/>
        </w:rPr>
        <w:t xml:space="preserve"> případu za 1 rok.</w:t>
      </w:r>
    </w:p>
    <w:p w14:paraId="588AE296" w14:textId="77777777" w:rsidR="005041D0" w:rsidRPr="00F37CA6" w:rsidRDefault="005041D0" w:rsidP="005041D0">
      <w:pPr>
        <w:spacing w:before="120"/>
        <w:jc w:val="both"/>
        <w:rPr>
          <w:color w:val="auto"/>
          <w:sz w:val="22"/>
          <w:szCs w:val="22"/>
        </w:rPr>
      </w:pPr>
    </w:p>
    <w:p w14:paraId="36CA8478" w14:textId="08FA5C10" w:rsidR="00830024" w:rsidRPr="00D66167" w:rsidRDefault="00830024" w:rsidP="00830024">
      <w:pPr>
        <w:pStyle w:val="DefaultText1"/>
        <w:jc w:val="both"/>
        <w:rPr>
          <w:rFonts w:ascii="Mulish" w:hAnsi="Mulish"/>
          <w:bCs/>
          <w:noProof/>
          <w:color w:val="FF0000"/>
          <w:sz w:val="22"/>
          <w:szCs w:val="22"/>
        </w:rPr>
      </w:pPr>
    </w:p>
    <w:p w14:paraId="39FBC186" w14:textId="7552468D" w:rsidR="005041D0" w:rsidRDefault="005041D0">
      <w:pPr>
        <w:autoSpaceDE/>
        <w:autoSpaceDN/>
        <w:adjustRightInd/>
        <w:spacing w:after="160" w:line="259" w:lineRule="auto"/>
        <w:textAlignment w:val="auto"/>
        <w:rPr>
          <w:rFonts w:eastAsia="Times New Roman" w:cs="Times New Roman"/>
          <w:b/>
          <w:bCs/>
          <w:color w:val="auto"/>
          <w:sz w:val="24"/>
          <w:szCs w:val="24"/>
          <w:lang w:eastAsia="cs-CZ"/>
        </w:rPr>
      </w:pPr>
      <w:r>
        <w:rPr>
          <w:b/>
          <w:bCs/>
        </w:rPr>
        <w:br w:type="page"/>
      </w:r>
    </w:p>
    <w:p w14:paraId="1248D307" w14:textId="7B5654AF" w:rsidR="00830024" w:rsidRPr="00C82B83" w:rsidRDefault="00830024" w:rsidP="00C82B83">
      <w:pPr>
        <w:pStyle w:val="DefaultText1"/>
        <w:jc w:val="center"/>
        <w:rPr>
          <w:rFonts w:ascii="Mulish" w:hAnsi="Mulish"/>
          <w:b/>
          <w:bCs/>
        </w:rPr>
      </w:pPr>
      <w:r w:rsidRPr="00C82B83">
        <w:rPr>
          <w:rFonts w:ascii="Mulish" w:hAnsi="Mulish"/>
          <w:b/>
          <w:bCs/>
        </w:rPr>
        <w:lastRenderedPageBreak/>
        <w:t>Nikl (Ni)</w:t>
      </w:r>
    </w:p>
    <w:p w14:paraId="076F663F" w14:textId="1C370BDA" w:rsidR="00830024" w:rsidRDefault="00830024" w:rsidP="00C82B83">
      <w:pPr>
        <w:pStyle w:val="DefaultText1"/>
        <w:spacing w:before="120" w:line="276" w:lineRule="auto"/>
        <w:jc w:val="both"/>
        <w:rPr>
          <w:rFonts w:ascii="Mulish" w:hAnsi="Mulish"/>
          <w:bCs/>
          <w:noProof/>
          <w:sz w:val="22"/>
          <w:szCs w:val="22"/>
        </w:rPr>
      </w:pPr>
      <w:r w:rsidRPr="00C82B83">
        <w:rPr>
          <w:rFonts w:ascii="Mulish" w:hAnsi="Mulish"/>
          <w:bCs/>
          <w:sz w:val="22"/>
          <w:szCs w:val="22"/>
        </w:rPr>
        <w:t xml:space="preserve">Vdechování </w:t>
      </w:r>
      <w:r w:rsidRPr="00C82B83">
        <w:rPr>
          <w:rFonts w:ascii="Mulish" w:hAnsi="Mulish"/>
          <w:bCs/>
          <w:noProof/>
          <w:sz w:val="22"/>
          <w:szCs w:val="22"/>
        </w:rPr>
        <w:t xml:space="preserve">všech typů sloučenin niklu vyvolává podráždění a poškození dýchacích cest, různé imunologické odezvy včetně zvýšení počtu alveolárních mikrofágů a imunosupresi. Nikl proniká placentární bariérou, takže je schopen ovlivnit prenatální vývoj přímým působením na embryo. Studie na pokusných zvířatech svědčí o tom, že některé sloučeniny niklu vykazují široký rozsah karcinogenní potence. Nejsilnějším karcinogenem v těchto experimentech byl sulfid niklitý </w:t>
      </w:r>
      <w:r w:rsidR="00F37CA6">
        <w:rPr>
          <w:rFonts w:ascii="Mulish" w:hAnsi="Mulish"/>
          <w:bCs/>
          <w:noProof/>
          <w:sz w:val="22"/>
          <w:szCs w:val="22"/>
        </w:rPr>
        <w:br/>
      </w:r>
      <w:r w:rsidRPr="00C82B83">
        <w:rPr>
          <w:rFonts w:ascii="Mulish" w:hAnsi="Mulish"/>
          <w:bCs/>
          <w:noProof/>
          <w:sz w:val="22"/>
          <w:szCs w:val="22"/>
        </w:rPr>
        <w:t>a sulfid nikelnatý. U člověka byla popsána akutní otrava tetrakarbonylniklem, alergická kožní reakce, astma (u zaměstnanců pracujících s niklem) a podráždění sliznic. Karcinogenní účinky byly prokázány epidemiologickými studiemi po inhalační expozici vysokým koncentracím niklu, neboť respirační trakt je cílovým orgánem, ve kterém dochází k retenci niklu s následným rizikem vzniku rakoviny dýchacího traktu. Sloučeniny niklu jsou na základě takových studií klasifikovány IARC jako prokázaný lidský karcinogen ve skupině 1, kovový nikl jako možný karcinogen ve skupině 2B. Hodnota jednotkového rizika převzatá od Světové zdravotnické organizace pro nikl je odhadována na 3,8 × 10</w:t>
      </w:r>
      <w:r w:rsidRPr="00C82B83">
        <w:rPr>
          <w:rFonts w:ascii="Mulish" w:hAnsi="Mulish"/>
          <w:bCs/>
          <w:noProof/>
          <w:sz w:val="22"/>
          <w:szCs w:val="22"/>
          <w:vertAlign w:val="superscript"/>
        </w:rPr>
        <w:t>-4</w:t>
      </w:r>
      <w:r w:rsidRPr="00C82B83">
        <w:rPr>
          <w:rFonts w:ascii="Mulish" w:hAnsi="Mulish"/>
          <w:bCs/>
          <w:noProof/>
          <w:sz w:val="22"/>
          <w:szCs w:val="22"/>
        </w:rPr>
        <w:t>.</w:t>
      </w:r>
    </w:p>
    <w:p w14:paraId="4BC7FA13" w14:textId="6B8A7631" w:rsidR="005A7674" w:rsidRPr="005A7674" w:rsidRDefault="005A7674" w:rsidP="005A7674">
      <w:pPr>
        <w:spacing w:before="120"/>
        <w:jc w:val="both"/>
        <w:rPr>
          <w:color w:val="auto"/>
          <w:sz w:val="22"/>
          <w:szCs w:val="22"/>
        </w:rPr>
      </w:pPr>
      <w:r w:rsidRPr="005A7674">
        <w:rPr>
          <w:color w:val="auto"/>
          <w:sz w:val="22"/>
          <w:szCs w:val="22"/>
        </w:rPr>
        <w:t xml:space="preserve">Tabulka č. </w:t>
      </w:r>
      <w:r w:rsidRPr="005A7674">
        <w:rPr>
          <w:color w:val="auto"/>
          <w:sz w:val="22"/>
          <w:szCs w:val="22"/>
        </w:rPr>
        <w:fldChar w:fldCharType="begin"/>
      </w:r>
      <w:r w:rsidRPr="005A7674">
        <w:rPr>
          <w:color w:val="auto"/>
          <w:sz w:val="22"/>
          <w:szCs w:val="22"/>
        </w:rPr>
        <w:instrText xml:space="preserve"> SEQ Tabulka_č._ \* ARABIC </w:instrText>
      </w:r>
      <w:r w:rsidRPr="005A7674">
        <w:rPr>
          <w:color w:val="auto"/>
          <w:sz w:val="22"/>
          <w:szCs w:val="22"/>
        </w:rPr>
        <w:fldChar w:fldCharType="separate"/>
      </w:r>
      <w:r w:rsidR="00D30EF9">
        <w:rPr>
          <w:noProof/>
          <w:color w:val="auto"/>
          <w:sz w:val="22"/>
          <w:szCs w:val="22"/>
        </w:rPr>
        <w:t>9</w:t>
      </w:r>
      <w:r w:rsidRPr="005A7674">
        <w:rPr>
          <w:color w:val="auto"/>
          <w:sz w:val="22"/>
          <w:szCs w:val="22"/>
        </w:rPr>
        <w:fldChar w:fldCharType="end"/>
      </w:r>
      <w:r w:rsidRPr="005A7674">
        <w:rPr>
          <w:color w:val="auto"/>
          <w:sz w:val="22"/>
          <w:szCs w:val="22"/>
        </w:rPr>
        <w:t xml:space="preserve">. 2022 – roční průměry a hodnoty individuálního a populačního rizika </w:t>
      </w:r>
    </w:p>
    <w:tbl>
      <w:tblPr>
        <w:tblW w:w="9403" w:type="dxa"/>
        <w:jc w:val="center"/>
        <w:tblCellMar>
          <w:left w:w="70" w:type="dxa"/>
          <w:right w:w="70" w:type="dxa"/>
        </w:tblCellMar>
        <w:tblLook w:val="0000" w:firstRow="0" w:lastRow="0" w:firstColumn="0" w:lastColumn="0" w:noHBand="0" w:noVBand="0"/>
      </w:tblPr>
      <w:tblGrid>
        <w:gridCol w:w="3114"/>
        <w:gridCol w:w="893"/>
        <w:gridCol w:w="909"/>
        <w:gridCol w:w="1227"/>
        <w:gridCol w:w="1113"/>
        <w:gridCol w:w="1134"/>
        <w:gridCol w:w="1013"/>
      </w:tblGrid>
      <w:tr w:rsidR="005A7674" w:rsidRPr="00D66167" w14:paraId="26267E96" w14:textId="77777777" w:rsidTr="00D00416">
        <w:trPr>
          <w:trHeight w:val="375"/>
          <w:jc w:val="center"/>
        </w:trPr>
        <w:tc>
          <w:tcPr>
            <w:tcW w:w="3114" w:type="dxa"/>
            <w:tcBorders>
              <w:top w:val="single" w:sz="4" w:space="0" w:color="auto"/>
              <w:left w:val="single" w:sz="4" w:space="0" w:color="auto"/>
              <w:bottom w:val="nil"/>
              <w:right w:val="single" w:sz="4" w:space="0" w:color="auto"/>
            </w:tcBorders>
            <w:shd w:val="clear" w:color="auto" w:fill="B4C6E7" w:themeFill="accent1" w:themeFillTint="66"/>
            <w:noWrap/>
            <w:vAlign w:val="center"/>
          </w:tcPr>
          <w:p w14:paraId="51D18F4E" w14:textId="109064CE" w:rsidR="005A7674" w:rsidRPr="005A7674" w:rsidRDefault="005A7674" w:rsidP="00D00416">
            <w:pPr>
              <w:rPr>
                <w:color w:val="auto"/>
              </w:rPr>
            </w:pPr>
            <w:r w:rsidRPr="005A7674">
              <w:rPr>
                <w:b/>
                <w:bCs/>
                <w:color w:val="auto"/>
              </w:rPr>
              <w:t>Nikl</w:t>
            </w:r>
          </w:p>
        </w:tc>
        <w:tc>
          <w:tcPr>
            <w:tcW w:w="1802" w:type="dxa"/>
            <w:gridSpan w:val="2"/>
            <w:tcBorders>
              <w:top w:val="single" w:sz="4" w:space="0" w:color="auto"/>
              <w:left w:val="nil"/>
              <w:bottom w:val="nil"/>
              <w:right w:val="single" w:sz="4" w:space="0" w:color="000000"/>
            </w:tcBorders>
            <w:shd w:val="clear" w:color="auto" w:fill="B4C6E7" w:themeFill="accent1" w:themeFillTint="66"/>
            <w:noWrap/>
            <w:vAlign w:val="center"/>
          </w:tcPr>
          <w:p w14:paraId="6F738C75" w14:textId="77777777" w:rsidR="005A7674" w:rsidRPr="005A7674" w:rsidRDefault="005A7674" w:rsidP="00D00416">
            <w:pPr>
              <w:jc w:val="center"/>
              <w:rPr>
                <w:color w:val="auto"/>
              </w:rPr>
            </w:pPr>
            <w:r w:rsidRPr="005A7674">
              <w:rPr>
                <w:color w:val="auto"/>
              </w:rPr>
              <w:t>roční průměry (</w:t>
            </w:r>
            <w:proofErr w:type="spellStart"/>
            <w:r w:rsidRPr="005A7674">
              <w:rPr>
                <w:color w:val="auto"/>
              </w:rPr>
              <w:t>ng</w:t>
            </w:r>
            <w:proofErr w:type="spellEnd"/>
            <w:r w:rsidRPr="005A7674">
              <w:rPr>
                <w:color w:val="auto"/>
              </w:rPr>
              <w:t>/m</w:t>
            </w:r>
            <w:r w:rsidRPr="005A7674">
              <w:rPr>
                <w:color w:val="auto"/>
                <w:vertAlign w:val="superscript"/>
              </w:rPr>
              <w:t>3</w:t>
            </w:r>
            <w:r w:rsidRPr="005A7674">
              <w:rPr>
                <w:color w:val="auto"/>
              </w:rPr>
              <w:t>)</w:t>
            </w:r>
          </w:p>
        </w:tc>
        <w:tc>
          <w:tcPr>
            <w:tcW w:w="2340" w:type="dxa"/>
            <w:gridSpan w:val="2"/>
            <w:tcBorders>
              <w:top w:val="single" w:sz="4" w:space="0" w:color="auto"/>
              <w:left w:val="nil"/>
              <w:bottom w:val="nil"/>
              <w:right w:val="single" w:sz="4" w:space="0" w:color="000000"/>
            </w:tcBorders>
            <w:shd w:val="clear" w:color="auto" w:fill="B4C6E7" w:themeFill="accent1" w:themeFillTint="66"/>
            <w:noWrap/>
            <w:vAlign w:val="center"/>
          </w:tcPr>
          <w:p w14:paraId="3EE05EA3" w14:textId="6E3A39D2" w:rsidR="005A7674" w:rsidRPr="005A7674" w:rsidRDefault="005A7674" w:rsidP="00D00416">
            <w:pPr>
              <w:jc w:val="center"/>
              <w:rPr>
                <w:color w:val="auto"/>
              </w:rPr>
            </w:pPr>
            <w:r w:rsidRPr="005A7674">
              <w:rPr>
                <w:color w:val="auto"/>
              </w:rPr>
              <w:t>karcinogenní riziko (ILCR)</w:t>
            </w:r>
          </w:p>
        </w:tc>
        <w:tc>
          <w:tcPr>
            <w:tcW w:w="2147" w:type="dxa"/>
            <w:gridSpan w:val="2"/>
            <w:tcBorders>
              <w:top w:val="single" w:sz="4" w:space="0" w:color="auto"/>
              <w:left w:val="nil"/>
              <w:bottom w:val="nil"/>
              <w:right w:val="single" w:sz="4" w:space="0" w:color="000000"/>
            </w:tcBorders>
            <w:shd w:val="clear" w:color="auto" w:fill="B4C6E7" w:themeFill="accent1" w:themeFillTint="66"/>
            <w:noWrap/>
            <w:vAlign w:val="center"/>
          </w:tcPr>
          <w:p w14:paraId="409B700D" w14:textId="77777777" w:rsidR="005A7674" w:rsidRPr="005A7674" w:rsidRDefault="005A7674" w:rsidP="00D00416">
            <w:pPr>
              <w:jc w:val="center"/>
              <w:rPr>
                <w:color w:val="auto"/>
              </w:rPr>
            </w:pPr>
            <w:r w:rsidRPr="005A7674">
              <w:rPr>
                <w:color w:val="auto"/>
              </w:rPr>
              <w:t>populační riziko/70 let</w:t>
            </w:r>
          </w:p>
        </w:tc>
      </w:tr>
      <w:tr w:rsidR="00D00416" w:rsidRPr="00D66167" w14:paraId="3534D787" w14:textId="77777777" w:rsidTr="00D00416">
        <w:trPr>
          <w:trHeight w:val="315"/>
          <w:jc w:val="center"/>
        </w:trPr>
        <w:tc>
          <w:tcPr>
            <w:tcW w:w="3114" w:type="dxa"/>
            <w:tcBorders>
              <w:top w:val="nil"/>
              <w:left w:val="single" w:sz="4" w:space="0" w:color="auto"/>
              <w:bottom w:val="single" w:sz="4" w:space="0" w:color="auto"/>
              <w:right w:val="single" w:sz="4" w:space="0" w:color="auto"/>
            </w:tcBorders>
            <w:shd w:val="clear" w:color="auto" w:fill="B4C6E7" w:themeFill="accent1" w:themeFillTint="66"/>
            <w:noWrap/>
            <w:vAlign w:val="center"/>
          </w:tcPr>
          <w:p w14:paraId="2DD30E7E" w14:textId="59CF371F" w:rsidR="005A7674" w:rsidRPr="005A7674" w:rsidRDefault="005A7674" w:rsidP="005A7674">
            <w:pPr>
              <w:rPr>
                <w:color w:val="auto"/>
              </w:rPr>
            </w:pPr>
            <w:r w:rsidRPr="005A7674">
              <w:rPr>
                <w:color w:val="auto"/>
              </w:rPr>
              <w:t>2022</w:t>
            </w:r>
          </w:p>
        </w:tc>
        <w:tc>
          <w:tcPr>
            <w:tcW w:w="893" w:type="dxa"/>
            <w:tcBorders>
              <w:top w:val="nil"/>
              <w:left w:val="nil"/>
              <w:bottom w:val="single" w:sz="4" w:space="0" w:color="auto"/>
              <w:right w:val="nil"/>
            </w:tcBorders>
            <w:shd w:val="clear" w:color="auto" w:fill="B4C6E7" w:themeFill="accent1" w:themeFillTint="66"/>
            <w:noWrap/>
            <w:vAlign w:val="center"/>
          </w:tcPr>
          <w:p w14:paraId="14DFD4FD" w14:textId="56A4BCE2" w:rsidR="005A7674" w:rsidRPr="005A7674" w:rsidRDefault="00766CD7" w:rsidP="00D00416">
            <w:pPr>
              <w:jc w:val="center"/>
              <w:rPr>
                <w:color w:val="auto"/>
              </w:rPr>
            </w:pPr>
            <w:r>
              <w:rPr>
                <w:color w:val="auto"/>
              </w:rPr>
              <w:t>M</w:t>
            </w:r>
            <w:r w:rsidR="005A7674" w:rsidRPr="005A7674">
              <w:rPr>
                <w:color w:val="auto"/>
              </w:rPr>
              <w:t>in</w:t>
            </w:r>
          </w:p>
        </w:tc>
        <w:tc>
          <w:tcPr>
            <w:tcW w:w="909" w:type="dxa"/>
            <w:tcBorders>
              <w:top w:val="nil"/>
              <w:left w:val="nil"/>
              <w:bottom w:val="single" w:sz="4" w:space="0" w:color="auto"/>
              <w:right w:val="nil"/>
            </w:tcBorders>
            <w:shd w:val="clear" w:color="auto" w:fill="B4C6E7" w:themeFill="accent1" w:themeFillTint="66"/>
            <w:noWrap/>
            <w:vAlign w:val="center"/>
          </w:tcPr>
          <w:p w14:paraId="69FA9FE3" w14:textId="12D5F505" w:rsidR="005A7674" w:rsidRPr="005A7674" w:rsidRDefault="00766CD7" w:rsidP="00D00416">
            <w:pPr>
              <w:jc w:val="center"/>
              <w:rPr>
                <w:color w:val="auto"/>
              </w:rPr>
            </w:pPr>
            <w:r>
              <w:rPr>
                <w:color w:val="auto"/>
              </w:rPr>
              <w:t>M</w:t>
            </w:r>
            <w:r w:rsidR="005A7674" w:rsidRPr="005A7674">
              <w:rPr>
                <w:color w:val="auto"/>
              </w:rPr>
              <w:t>ax</w:t>
            </w:r>
          </w:p>
        </w:tc>
        <w:tc>
          <w:tcPr>
            <w:tcW w:w="1227" w:type="dxa"/>
            <w:tcBorders>
              <w:top w:val="nil"/>
              <w:left w:val="single" w:sz="4" w:space="0" w:color="auto"/>
              <w:bottom w:val="single" w:sz="4" w:space="0" w:color="auto"/>
              <w:right w:val="nil"/>
            </w:tcBorders>
            <w:shd w:val="clear" w:color="auto" w:fill="B4C6E7" w:themeFill="accent1" w:themeFillTint="66"/>
            <w:noWrap/>
            <w:vAlign w:val="center"/>
          </w:tcPr>
          <w:p w14:paraId="4ED4A739" w14:textId="4E5BD454" w:rsidR="005A7674" w:rsidRPr="005A7674" w:rsidRDefault="00766CD7" w:rsidP="00D00416">
            <w:pPr>
              <w:jc w:val="center"/>
              <w:rPr>
                <w:color w:val="auto"/>
              </w:rPr>
            </w:pPr>
            <w:r>
              <w:rPr>
                <w:color w:val="auto"/>
              </w:rPr>
              <w:t>M</w:t>
            </w:r>
            <w:r w:rsidR="005A7674" w:rsidRPr="005A7674">
              <w:rPr>
                <w:color w:val="auto"/>
              </w:rPr>
              <w:t>in</w:t>
            </w:r>
          </w:p>
        </w:tc>
        <w:tc>
          <w:tcPr>
            <w:tcW w:w="1113" w:type="dxa"/>
            <w:tcBorders>
              <w:top w:val="nil"/>
              <w:left w:val="nil"/>
              <w:bottom w:val="single" w:sz="4" w:space="0" w:color="auto"/>
              <w:right w:val="single" w:sz="4" w:space="0" w:color="auto"/>
            </w:tcBorders>
            <w:shd w:val="clear" w:color="auto" w:fill="B4C6E7" w:themeFill="accent1" w:themeFillTint="66"/>
            <w:noWrap/>
            <w:vAlign w:val="center"/>
          </w:tcPr>
          <w:p w14:paraId="4F2014CA" w14:textId="6B6A9BFA" w:rsidR="005A7674" w:rsidRPr="005A7674" w:rsidRDefault="00766CD7" w:rsidP="00D00416">
            <w:pPr>
              <w:jc w:val="center"/>
              <w:rPr>
                <w:color w:val="auto"/>
              </w:rPr>
            </w:pPr>
            <w:r>
              <w:rPr>
                <w:color w:val="auto"/>
              </w:rPr>
              <w:t>M</w:t>
            </w:r>
            <w:r w:rsidR="005A7674" w:rsidRPr="005A7674">
              <w:rPr>
                <w:color w:val="auto"/>
              </w:rPr>
              <w:t>ax</w:t>
            </w:r>
          </w:p>
        </w:tc>
        <w:tc>
          <w:tcPr>
            <w:tcW w:w="1134" w:type="dxa"/>
            <w:tcBorders>
              <w:top w:val="nil"/>
              <w:left w:val="nil"/>
              <w:bottom w:val="single" w:sz="4" w:space="0" w:color="auto"/>
              <w:right w:val="nil"/>
            </w:tcBorders>
            <w:shd w:val="clear" w:color="auto" w:fill="B4C6E7" w:themeFill="accent1" w:themeFillTint="66"/>
            <w:noWrap/>
            <w:vAlign w:val="center"/>
          </w:tcPr>
          <w:p w14:paraId="1CCA767B" w14:textId="501DAFA1" w:rsidR="005A7674" w:rsidRPr="005A7674" w:rsidRDefault="00766CD7" w:rsidP="00D00416">
            <w:pPr>
              <w:jc w:val="center"/>
              <w:rPr>
                <w:color w:val="auto"/>
              </w:rPr>
            </w:pPr>
            <w:r>
              <w:rPr>
                <w:color w:val="auto"/>
              </w:rPr>
              <w:t>M</w:t>
            </w:r>
            <w:r w:rsidR="005A7674" w:rsidRPr="005A7674">
              <w:rPr>
                <w:color w:val="auto"/>
              </w:rPr>
              <w:t>in</w:t>
            </w:r>
          </w:p>
        </w:tc>
        <w:tc>
          <w:tcPr>
            <w:tcW w:w="1013" w:type="dxa"/>
            <w:tcBorders>
              <w:top w:val="nil"/>
              <w:left w:val="nil"/>
              <w:bottom w:val="single" w:sz="4" w:space="0" w:color="auto"/>
              <w:right w:val="single" w:sz="4" w:space="0" w:color="auto"/>
            </w:tcBorders>
            <w:shd w:val="clear" w:color="auto" w:fill="B4C6E7" w:themeFill="accent1" w:themeFillTint="66"/>
            <w:noWrap/>
            <w:vAlign w:val="center"/>
          </w:tcPr>
          <w:p w14:paraId="1E301225" w14:textId="679155CE" w:rsidR="005A7674" w:rsidRPr="005A7674" w:rsidRDefault="00766CD7" w:rsidP="00D00416">
            <w:pPr>
              <w:jc w:val="center"/>
              <w:rPr>
                <w:color w:val="auto"/>
              </w:rPr>
            </w:pPr>
            <w:r>
              <w:rPr>
                <w:color w:val="auto"/>
              </w:rPr>
              <w:t>M</w:t>
            </w:r>
            <w:r w:rsidR="005A7674" w:rsidRPr="005A7674">
              <w:rPr>
                <w:color w:val="auto"/>
              </w:rPr>
              <w:t>ax</w:t>
            </w:r>
          </w:p>
        </w:tc>
      </w:tr>
      <w:tr w:rsidR="005A7674" w:rsidRPr="00D66167" w14:paraId="397FDCAF" w14:textId="77777777" w:rsidTr="00D00416">
        <w:trPr>
          <w:trHeight w:val="315"/>
          <w:jc w:val="center"/>
        </w:trPr>
        <w:tc>
          <w:tcPr>
            <w:tcW w:w="3114" w:type="dxa"/>
            <w:tcBorders>
              <w:top w:val="nil"/>
              <w:left w:val="single" w:sz="4" w:space="0" w:color="auto"/>
              <w:bottom w:val="nil"/>
              <w:right w:val="nil"/>
            </w:tcBorders>
            <w:shd w:val="clear" w:color="auto" w:fill="B4C6E7" w:themeFill="accent1" w:themeFillTint="66"/>
            <w:noWrap/>
            <w:vAlign w:val="bottom"/>
          </w:tcPr>
          <w:p w14:paraId="473D37D3" w14:textId="77777777" w:rsidR="005A7674" w:rsidRPr="005A7674" w:rsidRDefault="005A7674" w:rsidP="00D00416">
            <w:pPr>
              <w:rPr>
                <w:color w:val="auto"/>
              </w:rPr>
            </w:pPr>
            <w:r w:rsidRPr="005A7674">
              <w:rPr>
                <w:color w:val="auto"/>
              </w:rPr>
              <w:t>ČR (10,5 mil. obyvatel)</w:t>
            </w:r>
          </w:p>
        </w:tc>
        <w:tc>
          <w:tcPr>
            <w:tcW w:w="893" w:type="dxa"/>
            <w:tcBorders>
              <w:top w:val="single" w:sz="4" w:space="0" w:color="auto"/>
              <w:left w:val="single" w:sz="4" w:space="0" w:color="auto"/>
              <w:bottom w:val="nil"/>
              <w:right w:val="nil"/>
            </w:tcBorders>
            <w:shd w:val="clear" w:color="auto" w:fill="auto"/>
            <w:noWrap/>
            <w:vAlign w:val="center"/>
          </w:tcPr>
          <w:p w14:paraId="12937511" w14:textId="39B975B6" w:rsidR="005A7674" w:rsidRPr="004F0050" w:rsidRDefault="005A7674" w:rsidP="004F0050">
            <w:pPr>
              <w:jc w:val="center"/>
              <w:rPr>
                <w:color w:val="auto"/>
              </w:rPr>
            </w:pPr>
            <w:r w:rsidRPr="004F0050">
              <w:rPr>
                <w:color w:val="auto"/>
              </w:rPr>
              <w:t>0,</w:t>
            </w:r>
            <w:r w:rsidR="004F0050" w:rsidRPr="004F0050">
              <w:rPr>
                <w:color w:val="auto"/>
              </w:rPr>
              <w:t>20</w:t>
            </w:r>
          </w:p>
        </w:tc>
        <w:tc>
          <w:tcPr>
            <w:tcW w:w="909" w:type="dxa"/>
            <w:tcBorders>
              <w:top w:val="single" w:sz="4" w:space="0" w:color="auto"/>
              <w:left w:val="nil"/>
              <w:bottom w:val="nil"/>
              <w:right w:val="nil"/>
            </w:tcBorders>
            <w:shd w:val="clear" w:color="auto" w:fill="auto"/>
            <w:noWrap/>
            <w:vAlign w:val="center"/>
          </w:tcPr>
          <w:p w14:paraId="3DFED7BB" w14:textId="5EACD7DD" w:rsidR="005A7674" w:rsidRPr="004F0050" w:rsidRDefault="004F0050" w:rsidP="004F0050">
            <w:pPr>
              <w:jc w:val="center"/>
              <w:rPr>
                <w:color w:val="auto"/>
              </w:rPr>
            </w:pPr>
            <w:r w:rsidRPr="004F0050">
              <w:rPr>
                <w:color w:val="auto"/>
              </w:rPr>
              <w:t>4</w:t>
            </w:r>
            <w:r w:rsidR="005A7674" w:rsidRPr="004F0050">
              <w:rPr>
                <w:color w:val="auto"/>
              </w:rPr>
              <w:t>,</w:t>
            </w:r>
            <w:r w:rsidRPr="004F0050">
              <w:rPr>
                <w:color w:val="auto"/>
              </w:rPr>
              <w:t>06</w:t>
            </w:r>
          </w:p>
        </w:tc>
        <w:tc>
          <w:tcPr>
            <w:tcW w:w="1227" w:type="dxa"/>
            <w:tcBorders>
              <w:top w:val="single" w:sz="4" w:space="0" w:color="auto"/>
              <w:left w:val="single" w:sz="4" w:space="0" w:color="auto"/>
              <w:bottom w:val="nil"/>
              <w:right w:val="nil"/>
            </w:tcBorders>
            <w:shd w:val="clear" w:color="auto" w:fill="auto"/>
            <w:noWrap/>
            <w:vAlign w:val="center"/>
          </w:tcPr>
          <w:p w14:paraId="74A6F081" w14:textId="60D5A5C3" w:rsidR="005A7674" w:rsidRPr="008D2C45" w:rsidRDefault="008D2C45" w:rsidP="008D2C45">
            <w:pPr>
              <w:jc w:val="center"/>
              <w:rPr>
                <w:color w:val="auto"/>
              </w:rPr>
            </w:pPr>
            <w:r w:rsidRPr="008D2C45">
              <w:rPr>
                <w:color w:val="auto"/>
              </w:rPr>
              <w:t>7</w:t>
            </w:r>
            <w:r w:rsidR="005A7674" w:rsidRPr="008D2C45">
              <w:rPr>
                <w:color w:val="auto"/>
              </w:rPr>
              <w:t>,</w:t>
            </w:r>
            <w:r w:rsidRPr="008D2C45">
              <w:rPr>
                <w:color w:val="auto"/>
              </w:rPr>
              <w:t>20</w:t>
            </w:r>
            <w:r w:rsidR="005A7674" w:rsidRPr="008D2C45">
              <w:rPr>
                <w:color w:val="auto"/>
              </w:rPr>
              <w:t>E-08</w:t>
            </w:r>
          </w:p>
        </w:tc>
        <w:tc>
          <w:tcPr>
            <w:tcW w:w="1113" w:type="dxa"/>
            <w:tcBorders>
              <w:top w:val="single" w:sz="4" w:space="0" w:color="auto"/>
              <w:left w:val="nil"/>
              <w:bottom w:val="nil"/>
              <w:right w:val="single" w:sz="4" w:space="0" w:color="auto"/>
            </w:tcBorders>
            <w:shd w:val="clear" w:color="auto" w:fill="auto"/>
            <w:noWrap/>
            <w:vAlign w:val="center"/>
          </w:tcPr>
          <w:p w14:paraId="43658152" w14:textId="59AFEB74" w:rsidR="005A7674" w:rsidRPr="008D2C45" w:rsidRDefault="005A7674" w:rsidP="008D2C45">
            <w:pPr>
              <w:jc w:val="center"/>
              <w:rPr>
                <w:color w:val="auto"/>
              </w:rPr>
            </w:pPr>
            <w:r w:rsidRPr="008D2C45">
              <w:rPr>
                <w:color w:val="auto"/>
              </w:rPr>
              <w:t>1,</w:t>
            </w:r>
            <w:r w:rsidR="008D2C45" w:rsidRPr="008D2C45">
              <w:rPr>
                <w:color w:val="auto"/>
              </w:rPr>
              <w:t>54</w:t>
            </w:r>
            <w:r w:rsidRPr="008D2C45">
              <w:rPr>
                <w:color w:val="auto"/>
              </w:rPr>
              <w:t>E-06</w:t>
            </w:r>
          </w:p>
        </w:tc>
        <w:tc>
          <w:tcPr>
            <w:tcW w:w="1134" w:type="dxa"/>
            <w:tcBorders>
              <w:top w:val="single" w:sz="4" w:space="0" w:color="auto"/>
              <w:left w:val="nil"/>
              <w:bottom w:val="nil"/>
              <w:right w:val="nil"/>
            </w:tcBorders>
            <w:shd w:val="clear" w:color="auto" w:fill="auto"/>
            <w:noWrap/>
            <w:vAlign w:val="center"/>
          </w:tcPr>
          <w:p w14:paraId="281EF564" w14:textId="441E96AE" w:rsidR="005A7674" w:rsidRPr="00D30858" w:rsidRDefault="005A7674" w:rsidP="00D30858">
            <w:pPr>
              <w:jc w:val="center"/>
              <w:rPr>
                <w:color w:val="auto"/>
              </w:rPr>
            </w:pPr>
            <w:r w:rsidRPr="00D30858">
              <w:rPr>
                <w:color w:val="auto"/>
              </w:rPr>
              <w:t>0,01</w:t>
            </w:r>
            <w:r w:rsidR="00D30858" w:rsidRPr="00D30858">
              <w:rPr>
                <w:color w:val="auto"/>
              </w:rPr>
              <w:t>1</w:t>
            </w:r>
          </w:p>
        </w:tc>
        <w:tc>
          <w:tcPr>
            <w:tcW w:w="1013" w:type="dxa"/>
            <w:tcBorders>
              <w:top w:val="single" w:sz="4" w:space="0" w:color="auto"/>
              <w:left w:val="nil"/>
              <w:bottom w:val="nil"/>
              <w:right w:val="single" w:sz="4" w:space="0" w:color="auto"/>
            </w:tcBorders>
            <w:shd w:val="clear" w:color="auto" w:fill="auto"/>
            <w:noWrap/>
            <w:vAlign w:val="center"/>
          </w:tcPr>
          <w:p w14:paraId="46B8C58F" w14:textId="7DC7A946" w:rsidR="005A7674" w:rsidRPr="00D30858" w:rsidRDefault="005A7674" w:rsidP="00D30858">
            <w:pPr>
              <w:jc w:val="center"/>
              <w:rPr>
                <w:color w:val="auto"/>
              </w:rPr>
            </w:pPr>
            <w:r w:rsidRPr="00D30858">
              <w:rPr>
                <w:color w:val="auto"/>
              </w:rPr>
              <w:t>0,</w:t>
            </w:r>
            <w:r w:rsidR="00D30858" w:rsidRPr="00D30858">
              <w:rPr>
                <w:color w:val="auto"/>
              </w:rPr>
              <w:t>231</w:t>
            </w:r>
          </w:p>
        </w:tc>
      </w:tr>
      <w:tr w:rsidR="005A7674" w:rsidRPr="00D66167" w14:paraId="0C7C533B" w14:textId="77777777" w:rsidTr="00D00416">
        <w:trPr>
          <w:trHeight w:val="315"/>
          <w:jc w:val="center"/>
        </w:trPr>
        <w:tc>
          <w:tcPr>
            <w:tcW w:w="3114" w:type="dxa"/>
            <w:tcBorders>
              <w:top w:val="nil"/>
              <w:left w:val="single" w:sz="4" w:space="0" w:color="auto"/>
              <w:bottom w:val="nil"/>
              <w:right w:val="nil"/>
            </w:tcBorders>
            <w:shd w:val="clear" w:color="auto" w:fill="B4C6E7" w:themeFill="accent1" w:themeFillTint="66"/>
            <w:noWrap/>
            <w:vAlign w:val="bottom"/>
          </w:tcPr>
          <w:p w14:paraId="79420854" w14:textId="77777777" w:rsidR="005A7674" w:rsidRPr="005A7674" w:rsidRDefault="005A7674" w:rsidP="00D00416">
            <w:pPr>
              <w:rPr>
                <w:color w:val="auto"/>
              </w:rPr>
            </w:pPr>
            <w:r w:rsidRPr="005A7674">
              <w:rPr>
                <w:color w:val="auto"/>
              </w:rPr>
              <w:t>města (nad 5 tis. – 5,2 mil. ob.)</w:t>
            </w:r>
          </w:p>
        </w:tc>
        <w:tc>
          <w:tcPr>
            <w:tcW w:w="893" w:type="dxa"/>
            <w:tcBorders>
              <w:top w:val="nil"/>
              <w:left w:val="single" w:sz="4" w:space="0" w:color="auto"/>
              <w:bottom w:val="nil"/>
              <w:right w:val="nil"/>
            </w:tcBorders>
            <w:shd w:val="clear" w:color="auto" w:fill="auto"/>
            <w:noWrap/>
            <w:vAlign w:val="center"/>
          </w:tcPr>
          <w:p w14:paraId="754667C9" w14:textId="77777777" w:rsidR="005A7674" w:rsidRPr="004F0050" w:rsidRDefault="005A7674" w:rsidP="00D00416">
            <w:pPr>
              <w:jc w:val="center"/>
              <w:rPr>
                <w:color w:val="auto"/>
              </w:rPr>
            </w:pPr>
            <w:r w:rsidRPr="004F0050">
              <w:rPr>
                <w:color w:val="auto"/>
              </w:rPr>
              <w:t>0,33</w:t>
            </w:r>
          </w:p>
        </w:tc>
        <w:tc>
          <w:tcPr>
            <w:tcW w:w="909" w:type="dxa"/>
            <w:tcBorders>
              <w:top w:val="nil"/>
              <w:left w:val="nil"/>
              <w:bottom w:val="nil"/>
              <w:right w:val="nil"/>
            </w:tcBorders>
            <w:shd w:val="clear" w:color="auto" w:fill="auto"/>
            <w:noWrap/>
            <w:vAlign w:val="center"/>
          </w:tcPr>
          <w:p w14:paraId="2908922A" w14:textId="728C21BF" w:rsidR="005A7674" w:rsidRPr="004F0050" w:rsidRDefault="005A7674" w:rsidP="004F0050">
            <w:pPr>
              <w:jc w:val="center"/>
              <w:rPr>
                <w:color w:val="auto"/>
              </w:rPr>
            </w:pPr>
            <w:r w:rsidRPr="004F0050">
              <w:rPr>
                <w:color w:val="auto"/>
              </w:rPr>
              <w:t>1,</w:t>
            </w:r>
            <w:r w:rsidR="004F0050" w:rsidRPr="004F0050">
              <w:rPr>
                <w:color w:val="auto"/>
              </w:rPr>
              <w:t>81</w:t>
            </w:r>
          </w:p>
        </w:tc>
        <w:tc>
          <w:tcPr>
            <w:tcW w:w="1227" w:type="dxa"/>
            <w:tcBorders>
              <w:top w:val="nil"/>
              <w:left w:val="single" w:sz="4" w:space="0" w:color="auto"/>
              <w:bottom w:val="nil"/>
              <w:right w:val="nil"/>
            </w:tcBorders>
            <w:shd w:val="clear" w:color="auto" w:fill="auto"/>
            <w:noWrap/>
            <w:vAlign w:val="center"/>
          </w:tcPr>
          <w:p w14:paraId="48DC30BF" w14:textId="77777777" w:rsidR="005A7674" w:rsidRPr="008D2C45" w:rsidRDefault="005A7674" w:rsidP="00D00416">
            <w:pPr>
              <w:jc w:val="center"/>
              <w:rPr>
                <w:color w:val="auto"/>
              </w:rPr>
            </w:pPr>
            <w:r w:rsidRPr="008D2C45">
              <w:rPr>
                <w:color w:val="auto"/>
              </w:rPr>
              <w:t>1,25E-07</w:t>
            </w:r>
          </w:p>
        </w:tc>
        <w:tc>
          <w:tcPr>
            <w:tcW w:w="1113" w:type="dxa"/>
            <w:tcBorders>
              <w:top w:val="nil"/>
              <w:left w:val="nil"/>
              <w:bottom w:val="nil"/>
              <w:right w:val="single" w:sz="4" w:space="0" w:color="auto"/>
            </w:tcBorders>
            <w:shd w:val="clear" w:color="auto" w:fill="auto"/>
            <w:noWrap/>
            <w:vAlign w:val="center"/>
          </w:tcPr>
          <w:p w14:paraId="4246E0E9" w14:textId="77F58E3E" w:rsidR="005A7674" w:rsidRPr="008D2C45" w:rsidRDefault="008D2C45" w:rsidP="008D2C45">
            <w:pPr>
              <w:jc w:val="center"/>
              <w:rPr>
                <w:color w:val="auto"/>
              </w:rPr>
            </w:pPr>
            <w:r w:rsidRPr="008D2C45">
              <w:rPr>
                <w:color w:val="auto"/>
              </w:rPr>
              <w:t>6</w:t>
            </w:r>
            <w:r w:rsidR="005A7674" w:rsidRPr="008D2C45">
              <w:rPr>
                <w:color w:val="auto"/>
              </w:rPr>
              <w:t>,</w:t>
            </w:r>
            <w:r w:rsidRPr="008D2C45">
              <w:rPr>
                <w:color w:val="auto"/>
              </w:rPr>
              <w:t>88</w:t>
            </w:r>
            <w:r w:rsidR="005A7674" w:rsidRPr="008D2C45">
              <w:rPr>
                <w:color w:val="auto"/>
              </w:rPr>
              <w:t>E-07</w:t>
            </w:r>
          </w:p>
        </w:tc>
        <w:tc>
          <w:tcPr>
            <w:tcW w:w="1134" w:type="dxa"/>
            <w:tcBorders>
              <w:top w:val="nil"/>
              <w:left w:val="nil"/>
              <w:bottom w:val="nil"/>
              <w:right w:val="nil"/>
            </w:tcBorders>
            <w:shd w:val="clear" w:color="auto" w:fill="auto"/>
            <w:noWrap/>
            <w:vAlign w:val="center"/>
          </w:tcPr>
          <w:p w14:paraId="342F1619" w14:textId="77777777" w:rsidR="005A7674" w:rsidRPr="00D30858" w:rsidRDefault="005A7674" w:rsidP="00D00416">
            <w:pPr>
              <w:jc w:val="center"/>
              <w:rPr>
                <w:color w:val="auto"/>
              </w:rPr>
            </w:pPr>
            <w:r w:rsidRPr="00D30858">
              <w:rPr>
                <w:color w:val="auto"/>
              </w:rPr>
              <w:t>0,009</w:t>
            </w:r>
          </w:p>
        </w:tc>
        <w:tc>
          <w:tcPr>
            <w:tcW w:w="1013" w:type="dxa"/>
            <w:tcBorders>
              <w:top w:val="nil"/>
              <w:left w:val="nil"/>
              <w:bottom w:val="nil"/>
              <w:right w:val="single" w:sz="4" w:space="0" w:color="auto"/>
            </w:tcBorders>
            <w:shd w:val="clear" w:color="auto" w:fill="auto"/>
            <w:noWrap/>
            <w:vAlign w:val="center"/>
          </w:tcPr>
          <w:p w14:paraId="0D6F938D" w14:textId="73A9E70C" w:rsidR="005A7674" w:rsidRPr="00D30858" w:rsidRDefault="005A7674" w:rsidP="00D30858">
            <w:pPr>
              <w:jc w:val="center"/>
              <w:rPr>
                <w:color w:val="auto"/>
              </w:rPr>
            </w:pPr>
            <w:r w:rsidRPr="00D30858">
              <w:rPr>
                <w:color w:val="auto"/>
              </w:rPr>
              <w:t>0,0</w:t>
            </w:r>
            <w:r w:rsidR="00D30858" w:rsidRPr="00D30858">
              <w:rPr>
                <w:color w:val="auto"/>
              </w:rPr>
              <w:t>52</w:t>
            </w:r>
          </w:p>
        </w:tc>
      </w:tr>
      <w:tr w:rsidR="005A7674" w:rsidRPr="00D66167" w14:paraId="6ABB1476" w14:textId="77777777" w:rsidTr="00D00416">
        <w:trPr>
          <w:trHeight w:val="315"/>
          <w:jc w:val="center"/>
        </w:trPr>
        <w:tc>
          <w:tcPr>
            <w:tcW w:w="3114" w:type="dxa"/>
            <w:tcBorders>
              <w:top w:val="nil"/>
              <w:left w:val="single" w:sz="4" w:space="0" w:color="auto"/>
              <w:bottom w:val="nil"/>
              <w:right w:val="nil"/>
            </w:tcBorders>
            <w:shd w:val="clear" w:color="auto" w:fill="B4C6E7" w:themeFill="accent1" w:themeFillTint="66"/>
            <w:noWrap/>
            <w:vAlign w:val="center"/>
          </w:tcPr>
          <w:p w14:paraId="1891AB18" w14:textId="77777777" w:rsidR="005A7674" w:rsidRPr="005A7674" w:rsidRDefault="005A7674" w:rsidP="00D00416">
            <w:pPr>
              <w:jc w:val="right"/>
              <w:rPr>
                <w:color w:val="auto"/>
              </w:rPr>
            </w:pPr>
            <w:r w:rsidRPr="005A7674">
              <w:rPr>
                <w:color w:val="auto"/>
              </w:rPr>
              <w:t>lokality bez dopravní zátěže</w:t>
            </w:r>
          </w:p>
        </w:tc>
        <w:tc>
          <w:tcPr>
            <w:tcW w:w="893" w:type="dxa"/>
            <w:tcBorders>
              <w:top w:val="nil"/>
              <w:left w:val="single" w:sz="4" w:space="0" w:color="auto"/>
              <w:bottom w:val="nil"/>
              <w:right w:val="nil"/>
            </w:tcBorders>
            <w:shd w:val="clear" w:color="auto" w:fill="auto"/>
            <w:noWrap/>
            <w:vAlign w:val="center"/>
          </w:tcPr>
          <w:p w14:paraId="275D7516" w14:textId="77777777" w:rsidR="005A7674" w:rsidRPr="004F0050" w:rsidRDefault="005A7674" w:rsidP="00D00416">
            <w:pPr>
              <w:jc w:val="center"/>
              <w:rPr>
                <w:color w:val="auto"/>
              </w:rPr>
            </w:pPr>
            <w:r w:rsidRPr="004F0050">
              <w:rPr>
                <w:color w:val="auto"/>
              </w:rPr>
              <w:t>0,33</w:t>
            </w:r>
          </w:p>
        </w:tc>
        <w:tc>
          <w:tcPr>
            <w:tcW w:w="909" w:type="dxa"/>
            <w:tcBorders>
              <w:top w:val="nil"/>
              <w:left w:val="nil"/>
              <w:bottom w:val="nil"/>
              <w:right w:val="nil"/>
            </w:tcBorders>
            <w:shd w:val="clear" w:color="auto" w:fill="auto"/>
            <w:noWrap/>
            <w:vAlign w:val="center"/>
          </w:tcPr>
          <w:p w14:paraId="47619DC4" w14:textId="374B6050" w:rsidR="005A7674" w:rsidRPr="004F0050" w:rsidRDefault="005A7674" w:rsidP="004F0050">
            <w:pPr>
              <w:jc w:val="center"/>
              <w:rPr>
                <w:color w:val="auto"/>
              </w:rPr>
            </w:pPr>
            <w:r w:rsidRPr="004F0050">
              <w:rPr>
                <w:color w:val="auto"/>
              </w:rPr>
              <w:t>1,</w:t>
            </w:r>
            <w:r w:rsidR="004F0050" w:rsidRPr="004F0050">
              <w:rPr>
                <w:color w:val="auto"/>
              </w:rPr>
              <w:t>81</w:t>
            </w:r>
          </w:p>
        </w:tc>
        <w:tc>
          <w:tcPr>
            <w:tcW w:w="1227" w:type="dxa"/>
            <w:tcBorders>
              <w:top w:val="nil"/>
              <w:left w:val="single" w:sz="4" w:space="0" w:color="auto"/>
              <w:bottom w:val="nil"/>
              <w:right w:val="nil"/>
            </w:tcBorders>
            <w:shd w:val="clear" w:color="auto" w:fill="auto"/>
            <w:noWrap/>
            <w:vAlign w:val="center"/>
          </w:tcPr>
          <w:p w14:paraId="06EE3AB4" w14:textId="77777777" w:rsidR="005A7674" w:rsidRPr="008D2C45" w:rsidRDefault="005A7674" w:rsidP="00D00416">
            <w:pPr>
              <w:jc w:val="center"/>
              <w:rPr>
                <w:color w:val="auto"/>
              </w:rPr>
            </w:pPr>
            <w:r w:rsidRPr="008D2C45">
              <w:rPr>
                <w:color w:val="auto"/>
              </w:rPr>
              <w:t>1,25E-07</w:t>
            </w:r>
          </w:p>
        </w:tc>
        <w:tc>
          <w:tcPr>
            <w:tcW w:w="1113" w:type="dxa"/>
            <w:tcBorders>
              <w:top w:val="nil"/>
              <w:left w:val="nil"/>
              <w:bottom w:val="nil"/>
              <w:right w:val="single" w:sz="4" w:space="0" w:color="auto"/>
            </w:tcBorders>
            <w:shd w:val="clear" w:color="auto" w:fill="auto"/>
            <w:noWrap/>
            <w:vAlign w:val="center"/>
          </w:tcPr>
          <w:p w14:paraId="7C4EBE57" w14:textId="55127FE0" w:rsidR="005A7674" w:rsidRPr="008D2C45" w:rsidRDefault="008D2C45" w:rsidP="008D2C45">
            <w:pPr>
              <w:jc w:val="center"/>
              <w:rPr>
                <w:color w:val="auto"/>
              </w:rPr>
            </w:pPr>
            <w:r w:rsidRPr="008D2C45">
              <w:rPr>
                <w:color w:val="auto"/>
              </w:rPr>
              <w:t>6</w:t>
            </w:r>
            <w:r w:rsidR="005A7674" w:rsidRPr="008D2C45">
              <w:rPr>
                <w:color w:val="auto"/>
              </w:rPr>
              <w:t>,</w:t>
            </w:r>
            <w:r w:rsidRPr="008D2C45">
              <w:rPr>
                <w:color w:val="auto"/>
              </w:rPr>
              <w:t>88</w:t>
            </w:r>
            <w:r w:rsidR="005A7674" w:rsidRPr="008D2C45">
              <w:rPr>
                <w:color w:val="auto"/>
              </w:rPr>
              <w:t>E-07</w:t>
            </w:r>
          </w:p>
        </w:tc>
        <w:tc>
          <w:tcPr>
            <w:tcW w:w="1134" w:type="dxa"/>
            <w:tcBorders>
              <w:top w:val="nil"/>
              <w:left w:val="nil"/>
              <w:bottom w:val="nil"/>
              <w:right w:val="nil"/>
            </w:tcBorders>
            <w:shd w:val="clear" w:color="auto" w:fill="auto"/>
            <w:noWrap/>
            <w:vAlign w:val="center"/>
          </w:tcPr>
          <w:p w14:paraId="73E8FD39" w14:textId="77777777" w:rsidR="005A7674" w:rsidRPr="00D30858" w:rsidRDefault="005A7674" w:rsidP="00D00416">
            <w:pPr>
              <w:jc w:val="center"/>
              <w:rPr>
                <w:color w:val="auto"/>
              </w:rPr>
            </w:pPr>
            <w:r w:rsidRPr="00D30858">
              <w:rPr>
                <w:color w:val="auto"/>
              </w:rPr>
              <w:t>0,009</w:t>
            </w:r>
          </w:p>
        </w:tc>
        <w:tc>
          <w:tcPr>
            <w:tcW w:w="1013" w:type="dxa"/>
            <w:tcBorders>
              <w:top w:val="nil"/>
              <w:left w:val="nil"/>
              <w:bottom w:val="nil"/>
              <w:right w:val="single" w:sz="4" w:space="0" w:color="auto"/>
            </w:tcBorders>
            <w:shd w:val="clear" w:color="auto" w:fill="auto"/>
            <w:noWrap/>
            <w:vAlign w:val="center"/>
          </w:tcPr>
          <w:p w14:paraId="4C476A05" w14:textId="3126735A" w:rsidR="005A7674" w:rsidRPr="00D30858" w:rsidRDefault="005A7674" w:rsidP="00D30858">
            <w:pPr>
              <w:jc w:val="center"/>
              <w:rPr>
                <w:color w:val="auto"/>
              </w:rPr>
            </w:pPr>
            <w:r w:rsidRPr="00D30858">
              <w:rPr>
                <w:color w:val="auto"/>
              </w:rPr>
              <w:t>0,0</w:t>
            </w:r>
            <w:r w:rsidR="00D30858" w:rsidRPr="00D30858">
              <w:rPr>
                <w:color w:val="auto"/>
              </w:rPr>
              <w:t>52</w:t>
            </w:r>
          </w:p>
        </w:tc>
      </w:tr>
      <w:tr w:rsidR="005A7674" w:rsidRPr="00D66167" w14:paraId="3F9EBC7D" w14:textId="77777777" w:rsidTr="00D00416">
        <w:trPr>
          <w:trHeight w:val="315"/>
          <w:jc w:val="center"/>
        </w:trPr>
        <w:tc>
          <w:tcPr>
            <w:tcW w:w="3114" w:type="dxa"/>
            <w:tcBorders>
              <w:top w:val="nil"/>
              <w:left w:val="single" w:sz="4" w:space="0" w:color="auto"/>
              <w:bottom w:val="nil"/>
              <w:right w:val="nil"/>
            </w:tcBorders>
            <w:shd w:val="clear" w:color="auto" w:fill="B4C6E7" w:themeFill="accent1" w:themeFillTint="66"/>
            <w:noWrap/>
            <w:vAlign w:val="center"/>
          </w:tcPr>
          <w:p w14:paraId="260CDA1F" w14:textId="77777777" w:rsidR="005A7674" w:rsidRPr="005A7674" w:rsidRDefault="005A7674" w:rsidP="00D00416">
            <w:pPr>
              <w:jc w:val="right"/>
              <w:rPr>
                <w:color w:val="auto"/>
              </w:rPr>
            </w:pPr>
            <w:r w:rsidRPr="005A7674">
              <w:rPr>
                <w:color w:val="auto"/>
              </w:rPr>
              <w:t>lokality s dopravní zátěží</w:t>
            </w:r>
          </w:p>
        </w:tc>
        <w:tc>
          <w:tcPr>
            <w:tcW w:w="893" w:type="dxa"/>
            <w:tcBorders>
              <w:top w:val="nil"/>
              <w:left w:val="single" w:sz="4" w:space="0" w:color="auto"/>
              <w:bottom w:val="nil"/>
              <w:right w:val="nil"/>
            </w:tcBorders>
            <w:shd w:val="clear" w:color="auto" w:fill="auto"/>
            <w:noWrap/>
            <w:vAlign w:val="center"/>
          </w:tcPr>
          <w:p w14:paraId="56189647" w14:textId="5D279169" w:rsidR="005A7674" w:rsidRPr="004F0050" w:rsidRDefault="005A7674" w:rsidP="004F0050">
            <w:pPr>
              <w:jc w:val="center"/>
              <w:rPr>
                <w:color w:val="auto"/>
              </w:rPr>
            </w:pPr>
            <w:r w:rsidRPr="004F0050">
              <w:rPr>
                <w:color w:val="auto"/>
              </w:rPr>
              <w:t>0,</w:t>
            </w:r>
            <w:r w:rsidR="004F0050" w:rsidRPr="004F0050">
              <w:rPr>
                <w:color w:val="auto"/>
              </w:rPr>
              <w:t>48</w:t>
            </w:r>
          </w:p>
        </w:tc>
        <w:tc>
          <w:tcPr>
            <w:tcW w:w="909" w:type="dxa"/>
            <w:tcBorders>
              <w:top w:val="nil"/>
              <w:left w:val="nil"/>
              <w:bottom w:val="nil"/>
              <w:right w:val="nil"/>
            </w:tcBorders>
            <w:shd w:val="clear" w:color="auto" w:fill="auto"/>
            <w:noWrap/>
            <w:vAlign w:val="center"/>
          </w:tcPr>
          <w:p w14:paraId="0849F26B" w14:textId="60698479" w:rsidR="005A7674" w:rsidRPr="004F0050" w:rsidRDefault="005A7674" w:rsidP="004F0050">
            <w:pPr>
              <w:jc w:val="center"/>
              <w:rPr>
                <w:color w:val="auto"/>
              </w:rPr>
            </w:pPr>
            <w:r w:rsidRPr="004F0050">
              <w:rPr>
                <w:color w:val="auto"/>
              </w:rPr>
              <w:t>1,</w:t>
            </w:r>
            <w:r w:rsidR="004F0050" w:rsidRPr="004F0050">
              <w:rPr>
                <w:color w:val="auto"/>
              </w:rPr>
              <w:t>76</w:t>
            </w:r>
          </w:p>
        </w:tc>
        <w:tc>
          <w:tcPr>
            <w:tcW w:w="1227" w:type="dxa"/>
            <w:tcBorders>
              <w:top w:val="nil"/>
              <w:left w:val="single" w:sz="4" w:space="0" w:color="auto"/>
              <w:bottom w:val="nil"/>
              <w:right w:val="nil"/>
            </w:tcBorders>
            <w:shd w:val="clear" w:color="auto" w:fill="auto"/>
            <w:noWrap/>
            <w:vAlign w:val="center"/>
          </w:tcPr>
          <w:p w14:paraId="17E5B76F" w14:textId="39A54877" w:rsidR="005A7674" w:rsidRPr="008D2C45" w:rsidRDefault="005A7674" w:rsidP="008D2C45">
            <w:pPr>
              <w:jc w:val="center"/>
              <w:rPr>
                <w:color w:val="auto"/>
              </w:rPr>
            </w:pPr>
            <w:r w:rsidRPr="008D2C45">
              <w:rPr>
                <w:color w:val="auto"/>
              </w:rPr>
              <w:t>1,</w:t>
            </w:r>
            <w:r w:rsidR="008D2C45" w:rsidRPr="008D2C45">
              <w:rPr>
                <w:color w:val="auto"/>
              </w:rPr>
              <w:t>82</w:t>
            </w:r>
            <w:r w:rsidRPr="008D2C45">
              <w:rPr>
                <w:color w:val="auto"/>
              </w:rPr>
              <w:t>E-07</w:t>
            </w:r>
          </w:p>
        </w:tc>
        <w:tc>
          <w:tcPr>
            <w:tcW w:w="1113" w:type="dxa"/>
            <w:tcBorders>
              <w:top w:val="nil"/>
              <w:left w:val="nil"/>
              <w:bottom w:val="nil"/>
              <w:right w:val="single" w:sz="4" w:space="0" w:color="auto"/>
            </w:tcBorders>
            <w:shd w:val="clear" w:color="auto" w:fill="auto"/>
            <w:noWrap/>
            <w:vAlign w:val="center"/>
          </w:tcPr>
          <w:p w14:paraId="62BAD884" w14:textId="2A4E69F2" w:rsidR="005A7674" w:rsidRPr="008D2C45" w:rsidRDefault="008D2C45" w:rsidP="008D2C45">
            <w:pPr>
              <w:jc w:val="center"/>
              <w:rPr>
                <w:color w:val="auto"/>
              </w:rPr>
            </w:pPr>
            <w:r w:rsidRPr="008D2C45">
              <w:rPr>
                <w:color w:val="auto"/>
              </w:rPr>
              <w:t>6</w:t>
            </w:r>
            <w:r w:rsidR="005A7674" w:rsidRPr="008D2C45">
              <w:rPr>
                <w:color w:val="auto"/>
              </w:rPr>
              <w:t>,</w:t>
            </w:r>
            <w:r w:rsidRPr="008D2C45">
              <w:rPr>
                <w:color w:val="auto"/>
              </w:rPr>
              <w:t>69</w:t>
            </w:r>
            <w:r w:rsidR="005A7674" w:rsidRPr="008D2C45">
              <w:rPr>
                <w:color w:val="auto"/>
              </w:rPr>
              <w:t>E-07</w:t>
            </w:r>
          </w:p>
        </w:tc>
        <w:tc>
          <w:tcPr>
            <w:tcW w:w="1134" w:type="dxa"/>
            <w:tcBorders>
              <w:top w:val="nil"/>
              <w:left w:val="nil"/>
              <w:bottom w:val="nil"/>
              <w:right w:val="nil"/>
            </w:tcBorders>
            <w:shd w:val="clear" w:color="auto" w:fill="auto"/>
            <w:noWrap/>
            <w:vAlign w:val="center"/>
          </w:tcPr>
          <w:p w14:paraId="35112CD3" w14:textId="0FBDC579" w:rsidR="005A7674" w:rsidRPr="00D30858" w:rsidRDefault="005A7674" w:rsidP="00D30858">
            <w:pPr>
              <w:jc w:val="center"/>
              <w:rPr>
                <w:color w:val="auto"/>
              </w:rPr>
            </w:pPr>
            <w:r w:rsidRPr="00D30858">
              <w:rPr>
                <w:color w:val="auto"/>
              </w:rPr>
              <w:t>0,0</w:t>
            </w:r>
            <w:r w:rsidR="00D30858" w:rsidRPr="00D30858">
              <w:rPr>
                <w:color w:val="auto"/>
              </w:rPr>
              <w:t>14</w:t>
            </w:r>
          </w:p>
        </w:tc>
        <w:tc>
          <w:tcPr>
            <w:tcW w:w="1013" w:type="dxa"/>
            <w:tcBorders>
              <w:top w:val="nil"/>
              <w:left w:val="nil"/>
              <w:bottom w:val="nil"/>
              <w:right w:val="single" w:sz="4" w:space="0" w:color="auto"/>
            </w:tcBorders>
            <w:shd w:val="clear" w:color="auto" w:fill="auto"/>
            <w:noWrap/>
            <w:vAlign w:val="center"/>
          </w:tcPr>
          <w:p w14:paraId="6EF17191" w14:textId="6632C56F" w:rsidR="005A7674" w:rsidRPr="00D30858" w:rsidRDefault="005A7674" w:rsidP="00D30858">
            <w:pPr>
              <w:jc w:val="center"/>
              <w:rPr>
                <w:color w:val="auto"/>
              </w:rPr>
            </w:pPr>
            <w:r w:rsidRPr="00D30858">
              <w:rPr>
                <w:color w:val="auto"/>
              </w:rPr>
              <w:t>0,0</w:t>
            </w:r>
            <w:r w:rsidR="00D30858" w:rsidRPr="00D30858">
              <w:rPr>
                <w:color w:val="auto"/>
              </w:rPr>
              <w:t>50</w:t>
            </w:r>
          </w:p>
        </w:tc>
      </w:tr>
      <w:tr w:rsidR="005A7674" w:rsidRPr="00D66167" w14:paraId="79AC8C94" w14:textId="77777777" w:rsidTr="00D00416">
        <w:trPr>
          <w:trHeight w:val="315"/>
          <w:jc w:val="center"/>
        </w:trPr>
        <w:tc>
          <w:tcPr>
            <w:tcW w:w="3114" w:type="dxa"/>
            <w:tcBorders>
              <w:top w:val="nil"/>
              <w:left w:val="single" w:sz="4" w:space="0" w:color="auto"/>
              <w:bottom w:val="single" w:sz="4" w:space="0" w:color="auto"/>
              <w:right w:val="nil"/>
            </w:tcBorders>
            <w:shd w:val="clear" w:color="auto" w:fill="B4C6E7" w:themeFill="accent1" w:themeFillTint="66"/>
            <w:noWrap/>
            <w:vAlign w:val="center"/>
          </w:tcPr>
          <w:p w14:paraId="47B1E824" w14:textId="77777777" w:rsidR="005A7674" w:rsidRPr="005A7674" w:rsidRDefault="005A7674" w:rsidP="00D00416">
            <w:pPr>
              <w:jc w:val="right"/>
              <w:rPr>
                <w:color w:val="auto"/>
              </w:rPr>
            </w:pPr>
            <w:r w:rsidRPr="005A7674">
              <w:rPr>
                <w:color w:val="auto"/>
              </w:rPr>
              <w:t>průmyslové lokality</w:t>
            </w:r>
          </w:p>
        </w:tc>
        <w:tc>
          <w:tcPr>
            <w:tcW w:w="893" w:type="dxa"/>
            <w:tcBorders>
              <w:top w:val="nil"/>
              <w:left w:val="single" w:sz="4" w:space="0" w:color="auto"/>
              <w:bottom w:val="single" w:sz="4" w:space="0" w:color="auto"/>
              <w:right w:val="nil"/>
            </w:tcBorders>
            <w:shd w:val="clear" w:color="auto" w:fill="auto"/>
            <w:noWrap/>
            <w:vAlign w:val="center"/>
          </w:tcPr>
          <w:p w14:paraId="0F239A07" w14:textId="290E7C54" w:rsidR="005A7674" w:rsidRPr="004F0050" w:rsidRDefault="005A7674" w:rsidP="004F0050">
            <w:pPr>
              <w:jc w:val="center"/>
              <w:rPr>
                <w:color w:val="auto"/>
              </w:rPr>
            </w:pPr>
            <w:r w:rsidRPr="004F0050">
              <w:rPr>
                <w:color w:val="auto"/>
              </w:rPr>
              <w:t>0,3</w:t>
            </w:r>
            <w:r w:rsidR="004F0050" w:rsidRPr="004F0050">
              <w:rPr>
                <w:color w:val="auto"/>
              </w:rPr>
              <w:t>6</w:t>
            </w:r>
          </w:p>
        </w:tc>
        <w:tc>
          <w:tcPr>
            <w:tcW w:w="909" w:type="dxa"/>
            <w:tcBorders>
              <w:top w:val="nil"/>
              <w:left w:val="nil"/>
              <w:bottom w:val="single" w:sz="4" w:space="0" w:color="auto"/>
              <w:right w:val="nil"/>
            </w:tcBorders>
            <w:shd w:val="clear" w:color="auto" w:fill="auto"/>
            <w:noWrap/>
            <w:vAlign w:val="center"/>
          </w:tcPr>
          <w:p w14:paraId="63D8B610" w14:textId="4A981E62" w:rsidR="005A7674" w:rsidRPr="004F0050" w:rsidRDefault="004F0050" w:rsidP="004F0050">
            <w:pPr>
              <w:jc w:val="center"/>
              <w:rPr>
                <w:color w:val="auto"/>
              </w:rPr>
            </w:pPr>
            <w:r w:rsidRPr="004F0050">
              <w:rPr>
                <w:color w:val="auto"/>
              </w:rPr>
              <w:t>4</w:t>
            </w:r>
            <w:r w:rsidR="005A7674" w:rsidRPr="004F0050">
              <w:rPr>
                <w:color w:val="auto"/>
              </w:rPr>
              <w:t>,</w:t>
            </w:r>
            <w:r w:rsidRPr="004F0050">
              <w:rPr>
                <w:color w:val="auto"/>
              </w:rPr>
              <w:t>06</w:t>
            </w:r>
          </w:p>
        </w:tc>
        <w:tc>
          <w:tcPr>
            <w:tcW w:w="1227" w:type="dxa"/>
            <w:tcBorders>
              <w:top w:val="nil"/>
              <w:left w:val="single" w:sz="4" w:space="0" w:color="auto"/>
              <w:bottom w:val="single" w:sz="4" w:space="0" w:color="auto"/>
              <w:right w:val="nil"/>
            </w:tcBorders>
            <w:shd w:val="clear" w:color="auto" w:fill="auto"/>
            <w:noWrap/>
            <w:vAlign w:val="center"/>
          </w:tcPr>
          <w:p w14:paraId="0BCD7482" w14:textId="1B1813BB" w:rsidR="005A7674" w:rsidRPr="008D2C45" w:rsidRDefault="005A7674" w:rsidP="008D2C45">
            <w:pPr>
              <w:jc w:val="center"/>
              <w:rPr>
                <w:color w:val="auto"/>
              </w:rPr>
            </w:pPr>
            <w:r w:rsidRPr="008D2C45">
              <w:rPr>
                <w:color w:val="auto"/>
              </w:rPr>
              <w:t>1,</w:t>
            </w:r>
            <w:r w:rsidR="008D2C45" w:rsidRPr="008D2C45">
              <w:rPr>
                <w:color w:val="auto"/>
              </w:rPr>
              <w:t>37</w:t>
            </w:r>
            <w:r w:rsidRPr="008D2C45">
              <w:rPr>
                <w:color w:val="auto"/>
              </w:rPr>
              <w:t>E-07</w:t>
            </w:r>
          </w:p>
        </w:tc>
        <w:tc>
          <w:tcPr>
            <w:tcW w:w="1113" w:type="dxa"/>
            <w:tcBorders>
              <w:top w:val="nil"/>
              <w:left w:val="nil"/>
              <w:bottom w:val="single" w:sz="4" w:space="0" w:color="auto"/>
              <w:right w:val="single" w:sz="4" w:space="0" w:color="auto"/>
            </w:tcBorders>
            <w:shd w:val="clear" w:color="auto" w:fill="auto"/>
            <w:noWrap/>
            <w:vAlign w:val="center"/>
          </w:tcPr>
          <w:p w14:paraId="63FB59E5" w14:textId="28F0DD9E" w:rsidR="005A7674" w:rsidRPr="008D2C45" w:rsidRDefault="005A7674" w:rsidP="008D2C45">
            <w:pPr>
              <w:jc w:val="center"/>
              <w:rPr>
                <w:color w:val="auto"/>
              </w:rPr>
            </w:pPr>
            <w:r w:rsidRPr="008D2C45">
              <w:rPr>
                <w:color w:val="auto"/>
              </w:rPr>
              <w:t>1,</w:t>
            </w:r>
            <w:r w:rsidR="008D2C45" w:rsidRPr="008D2C45">
              <w:rPr>
                <w:color w:val="auto"/>
              </w:rPr>
              <w:t>54</w:t>
            </w:r>
            <w:r w:rsidRPr="008D2C45">
              <w:rPr>
                <w:color w:val="auto"/>
              </w:rPr>
              <w:t>E-06</w:t>
            </w:r>
          </w:p>
        </w:tc>
        <w:tc>
          <w:tcPr>
            <w:tcW w:w="1134" w:type="dxa"/>
            <w:tcBorders>
              <w:top w:val="nil"/>
              <w:left w:val="nil"/>
              <w:bottom w:val="single" w:sz="4" w:space="0" w:color="auto"/>
              <w:right w:val="nil"/>
            </w:tcBorders>
            <w:shd w:val="clear" w:color="auto" w:fill="auto"/>
            <w:noWrap/>
            <w:vAlign w:val="center"/>
          </w:tcPr>
          <w:p w14:paraId="3CB488A6" w14:textId="0A2B19AA" w:rsidR="005A7674" w:rsidRPr="00D30858" w:rsidRDefault="005A7674" w:rsidP="00D30858">
            <w:pPr>
              <w:jc w:val="center"/>
              <w:rPr>
                <w:color w:val="auto"/>
              </w:rPr>
            </w:pPr>
            <w:r w:rsidRPr="00D30858">
              <w:rPr>
                <w:color w:val="auto"/>
              </w:rPr>
              <w:t>0,0</w:t>
            </w:r>
            <w:r w:rsidR="00D30858" w:rsidRPr="00D30858">
              <w:rPr>
                <w:color w:val="auto"/>
              </w:rPr>
              <w:t>10</w:t>
            </w:r>
          </w:p>
        </w:tc>
        <w:tc>
          <w:tcPr>
            <w:tcW w:w="1013" w:type="dxa"/>
            <w:tcBorders>
              <w:top w:val="nil"/>
              <w:left w:val="nil"/>
              <w:bottom w:val="single" w:sz="4" w:space="0" w:color="auto"/>
              <w:right w:val="single" w:sz="4" w:space="0" w:color="auto"/>
            </w:tcBorders>
            <w:shd w:val="clear" w:color="auto" w:fill="auto"/>
            <w:noWrap/>
            <w:vAlign w:val="center"/>
          </w:tcPr>
          <w:p w14:paraId="74EB15B4" w14:textId="53D832F0" w:rsidR="005A7674" w:rsidRPr="00D30858" w:rsidRDefault="005A7674" w:rsidP="00D30858">
            <w:pPr>
              <w:jc w:val="center"/>
              <w:rPr>
                <w:color w:val="auto"/>
              </w:rPr>
            </w:pPr>
            <w:r w:rsidRPr="00D30858">
              <w:rPr>
                <w:color w:val="auto"/>
              </w:rPr>
              <w:t>0,</w:t>
            </w:r>
            <w:r w:rsidR="00D30858" w:rsidRPr="00D30858">
              <w:rPr>
                <w:color w:val="auto"/>
              </w:rPr>
              <w:t>116</w:t>
            </w:r>
          </w:p>
        </w:tc>
      </w:tr>
    </w:tbl>
    <w:p w14:paraId="38E86363" w14:textId="3527FE6E" w:rsidR="005A7674" w:rsidRPr="005A7674" w:rsidRDefault="005A7674" w:rsidP="005A7674">
      <w:pPr>
        <w:jc w:val="both"/>
        <w:rPr>
          <w:i/>
          <w:color w:val="auto"/>
        </w:rPr>
      </w:pPr>
      <w:r w:rsidRPr="005A7674">
        <w:rPr>
          <w:i/>
          <w:noProof/>
          <w:color w:val="auto"/>
          <w:lang w:eastAsia="cs-CZ"/>
        </w:rPr>
        <w:drawing>
          <wp:anchor distT="0" distB="0" distL="114300" distR="114300" simplePos="0" relativeHeight="251686912" behindDoc="0" locked="0" layoutInCell="1" allowOverlap="0" wp14:anchorId="2B176AB4" wp14:editId="331A23BD">
            <wp:simplePos x="0" y="0"/>
            <wp:positionH relativeFrom="column">
              <wp:posOffset>142875</wp:posOffset>
            </wp:positionH>
            <wp:positionV relativeFrom="page">
              <wp:posOffset>6668770</wp:posOffset>
            </wp:positionV>
            <wp:extent cx="5760000" cy="2178000"/>
            <wp:effectExtent l="0" t="0" r="0" b="0"/>
            <wp:wrapTopAndBottom/>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00" cy="217800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Pr="005A7674">
        <w:rPr>
          <w:i/>
          <w:color w:val="auto"/>
        </w:rPr>
        <w:t>Pozn</w:t>
      </w:r>
      <w:proofErr w:type="spellEnd"/>
      <w:r w:rsidRPr="005A7674">
        <w:rPr>
          <w:i/>
          <w:color w:val="auto"/>
        </w:rPr>
        <w:t xml:space="preserve">: Maximální hodnota v ČR naměřena na stanici TOMH (Ostrava M. Hory) – 4,06 </w:t>
      </w:r>
      <w:proofErr w:type="spellStart"/>
      <w:r w:rsidRPr="005A7674">
        <w:rPr>
          <w:i/>
          <w:color w:val="auto"/>
        </w:rPr>
        <w:t>ng</w:t>
      </w:r>
      <w:proofErr w:type="spellEnd"/>
      <w:r w:rsidRPr="005A7674">
        <w:rPr>
          <w:i/>
          <w:color w:val="auto"/>
        </w:rPr>
        <w:t>/m</w:t>
      </w:r>
      <w:r w:rsidRPr="005A7674">
        <w:rPr>
          <w:i/>
          <w:color w:val="auto"/>
          <w:vertAlign w:val="superscript"/>
        </w:rPr>
        <w:t>3</w:t>
      </w:r>
      <w:r w:rsidRPr="005A7674">
        <w:rPr>
          <w:i/>
          <w:color w:val="auto"/>
        </w:rPr>
        <w:t>/rok.</w:t>
      </w:r>
    </w:p>
    <w:p w14:paraId="31DF4A99" w14:textId="5EA7EA43" w:rsidR="005A7674" w:rsidRPr="005A7674" w:rsidRDefault="005A7674" w:rsidP="005A7674">
      <w:pPr>
        <w:jc w:val="both"/>
        <w:rPr>
          <w:color w:val="auto"/>
          <w:sz w:val="22"/>
          <w:szCs w:val="22"/>
        </w:rPr>
      </w:pPr>
      <w:r w:rsidRPr="005A7674">
        <w:rPr>
          <w:color w:val="auto"/>
          <w:sz w:val="22"/>
          <w:szCs w:val="22"/>
        </w:rPr>
        <w:t>Graf č. 5. Rozpětí teoretického odhadu pravděpodobnosti zvýšení počtu nádorových onemocnění z příjmu Ni z venkovního ovzduší v roce 2022 v ČR a pro jednotlivé typy městských lokalit</w:t>
      </w:r>
    </w:p>
    <w:p w14:paraId="213A6A32" w14:textId="291CC7A2" w:rsidR="005A7674" w:rsidRPr="00CC08ED" w:rsidRDefault="005A7674" w:rsidP="005A7674">
      <w:pPr>
        <w:pStyle w:val="DefaultText1"/>
        <w:spacing w:before="120" w:line="276" w:lineRule="auto"/>
        <w:jc w:val="both"/>
        <w:rPr>
          <w:rFonts w:ascii="Mulish" w:hAnsi="Mulish"/>
          <w:bCs/>
          <w:sz w:val="22"/>
          <w:szCs w:val="22"/>
        </w:rPr>
      </w:pPr>
      <w:r w:rsidRPr="00CC08ED">
        <w:rPr>
          <w:rFonts w:ascii="Mulish" w:hAnsi="Mulish"/>
          <w:bCs/>
          <w:sz w:val="22"/>
          <w:szCs w:val="22"/>
        </w:rPr>
        <w:lastRenderedPageBreak/>
        <w:t xml:space="preserve">Roční střední hodnota z pozaďových stanic byla 0,25 </w:t>
      </w:r>
      <w:proofErr w:type="spellStart"/>
      <w:r w:rsidRPr="00CC08ED">
        <w:rPr>
          <w:rFonts w:ascii="Mulish" w:hAnsi="Mulish"/>
          <w:bCs/>
          <w:sz w:val="22"/>
          <w:szCs w:val="22"/>
        </w:rPr>
        <w:t>ng</w:t>
      </w:r>
      <w:proofErr w:type="spellEnd"/>
      <w:r w:rsidRPr="00CC08ED">
        <w:rPr>
          <w:rFonts w:ascii="Mulish" w:hAnsi="Mulish"/>
          <w:bCs/>
          <w:sz w:val="22"/>
          <w:szCs w:val="22"/>
        </w:rPr>
        <w:t>/m</w:t>
      </w:r>
      <w:r w:rsidRPr="00CC08ED">
        <w:rPr>
          <w:rFonts w:ascii="Mulish" w:hAnsi="Mulish"/>
          <w:bCs/>
          <w:sz w:val="22"/>
          <w:szCs w:val="22"/>
          <w:vertAlign w:val="superscript"/>
        </w:rPr>
        <w:t>3</w:t>
      </w:r>
      <w:r w:rsidRPr="00CC08ED">
        <w:rPr>
          <w:rFonts w:ascii="Mulish" w:hAnsi="Mulish"/>
          <w:bCs/>
          <w:sz w:val="22"/>
          <w:szCs w:val="22"/>
        </w:rPr>
        <w:t xml:space="preserve">, odhad průměrné hodnoty v obydlených městských oblastech je 0,75 </w:t>
      </w:r>
      <w:proofErr w:type="spellStart"/>
      <w:r w:rsidRPr="00CC08ED">
        <w:rPr>
          <w:rFonts w:ascii="Mulish" w:hAnsi="Mulish"/>
          <w:bCs/>
          <w:sz w:val="22"/>
          <w:szCs w:val="22"/>
        </w:rPr>
        <w:t>ng</w:t>
      </w:r>
      <w:proofErr w:type="spellEnd"/>
      <w:r w:rsidRPr="00CC08ED">
        <w:rPr>
          <w:rFonts w:ascii="Mulish" w:hAnsi="Mulish"/>
          <w:bCs/>
          <w:sz w:val="22"/>
          <w:szCs w:val="22"/>
        </w:rPr>
        <w:t>/m</w:t>
      </w:r>
      <w:r w:rsidRPr="00CC08ED">
        <w:rPr>
          <w:rFonts w:ascii="Mulish" w:hAnsi="Mulish"/>
          <w:bCs/>
          <w:sz w:val="22"/>
          <w:szCs w:val="22"/>
          <w:vertAlign w:val="superscript"/>
        </w:rPr>
        <w:t>3</w:t>
      </w:r>
      <w:r w:rsidRPr="00CC08ED">
        <w:rPr>
          <w:rFonts w:ascii="Mulish" w:hAnsi="Mulish"/>
          <w:bCs/>
          <w:sz w:val="22"/>
          <w:szCs w:val="22"/>
        </w:rPr>
        <w:t>. Vyšší hodnoty (</w:t>
      </w:r>
      <w:r w:rsidRPr="00CC08ED">
        <w:rPr>
          <w:rFonts w:ascii="Mulish" w:hAnsi="Mulish"/>
          <w:bCs/>
          <w:sz w:val="22"/>
          <w:szCs w:val="22"/>
          <w:lang w:val="en-GB"/>
        </w:rPr>
        <w:t>&gt; 3 ng/m</w:t>
      </w:r>
      <w:r w:rsidRPr="00CC08ED">
        <w:rPr>
          <w:rFonts w:ascii="Mulish" w:hAnsi="Mulish"/>
          <w:bCs/>
          <w:sz w:val="22"/>
          <w:szCs w:val="22"/>
          <w:vertAlign w:val="superscript"/>
          <w:lang w:val="en-GB"/>
        </w:rPr>
        <w:t>3</w:t>
      </w:r>
      <w:r w:rsidRPr="00CC08ED">
        <w:rPr>
          <w:rFonts w:ascii="Mulish" w:hAnsi="Mulish"/>
          <w:bCs/>
          <w:sz w:val="22"/>
          <w:szCs w:val="22"/>
        </w:rPr>
        <w:t>) byly naměřeny na průmyslových stanicích v Ostravě (TORE, TOPR a TOMH).</w:t>
      </w:r>
    </w:p>
    <w:p w14:paraId="5E3DA48D" w14:textId="7C6BB25A" w:rsidR="005A7674" w:rsidRPr="00D30858" w:rsidRDefault="005A7674" w:rsidP="005A7674">
      <w:pPr>
        <w:spacing w:before="120"/>
        <w:jc w:val="both"/>
        <w:rPr>
          <w:b/>
          <w:color w:val="auto"/>
          <w:sz w:val="22"/>
          <w:szCs w:val="22"/>
        </w:rPr>
      </w:pPr>
      <w:r w:rsidRPr="00D30858">
        <w:rPr>
          <w:b/>
          <w:color w:val="auto"/>
          <w:sz w:val="22"/>
          <w:szCs w:val="22"/>
        </w:rPr>
        <w:t>Individuální karcinogenní riziko odhadované na základě potenciální expozice koncentracím niklu se v městských lokalitách pohybuje ve společensky přijatelném rozmezí cca jednoho případu na 10 miliónů až jednoho případu na milión obyvatel za 70 let. Populační riziko spočtené na základě odhadu střední hodnoty v sídlech v roce 202</w:t>
      </w:r>
      <w:r w:rsidR="00D30858" w:rsidRPr="00D30858">
        <w:rPr>
          <w:b/>
          <w:color w:val="auto"/>
          <w:sz w:val="22"/>
          <w:szCs w:val="22"/>
        </w:rPr>
        <w:t>2</w:t>
      </w:r>
      <w:r w:rsidRPr="00D30858">
        <w:rPr>
          <w:b/>
          <w:color w:val="auto"/>
          <w:sz w:val="22"/>
          <w:szCs w:val="22"/>
        </w:rPr>
        <w:t xml:space="preserve"> </w:t>
      </w:r>
      <w:r w:rsidR="00EB56AC">
        <w:rPr>
          <w:b/>
          <w:color w:val="auto"/>
          <w:sz w:val="22"/>
          <w:szCs w:val="22"/>
        </w:rPr>
        <w:t xml:space="preserve">(0,75 </w:t>
      </w:r>
      <w:proofErr w:type="spellStart"/>
      <w:r w:rsidR="00EB56AC">
        <w:rPr>
          <w:b/>
          <w:color w:val="auto"/>
          <w:sz w:val="22"/>
          <w:szCs w:val="22"/>
        </w:rPr>
        <w:t>ng</w:t>
      </w:r>
      <w:proofErr w:type="spellEnd"/>
      <w:r w:rsidR="00EB56AC">
        <w:rPr>
          <w:b/>
          <w:color w:val="auto"/>
          <w:sz w:val="22"/>
          <w:szCs w:val="22"/>
        </w:rPr>
        <w:t>/m</w:t>
      </w:r>
      <w:r w:rsidR="00EB56AC" w:rsidRPr="00EB56AC">
        <w:rPr>
          <w:b/>
          <w:color w:val="auto"/>
          <w:sz w:val="22"/>
          <w:szCs w:val="22"/>
          <w:vertAlign w:val="superscript"/>
        </w:rPr>
        <w:t>3</w:t>
      </w:r>
      <w:r w:rsidR="00EB56AC">
        <w:rPr>
          <w:b/>
          <w:color w:val="auto"/>
          <w:sz w:val="22"/>
          <w:szCs w:val="22"/>
        </w:rPr>
        <w:t xml:space="preserve">) </w:t>
      </w:r>
      <w:r w:rsidRPr="00D30858">
        <w:rPr>
          <w:b/>
          <w:color w:val="auto"/>
          <w:sz w:val="22"/>
          <w:szCs w:val="22"/>
        </w:rPr>
        <w:t>představuje na deset a půl miliónu obyvatel ČR 0,0</w:t>
      </w:r>
      <w:r w:rsidR="00D30858" w:rsidRPr="00D30858">
        <w:rPr>
          <w:b/>
          <w:color w:val="auto"/>
          <w:sz w:val="22"/>
          <w:szCs w:val="22"/>
        </w:rPr>
        <w:t>4</w:t>
      </w:r>
      <w:r w:rsidRPr="00D30858">
        <w:rPr>
          <w:b/>
          <w:color w:val="auto"/>
          <w:sz w:val="22"/>
          <w:szCs w:val="22"/>
        </w:rPr>
        <w:t xml:space="preserve"> případu za 1 rok. </w:t>
      </w:r>
    </w:p>
    <w:p w14:paraId="7E410E04" w14:textId="7370C88D" w:rsidR="00C82B83" w:rsidRPr="00C82B83" w:rsidRDefault="00C82B83" w:rsidP="00C82B83">
      <w:pPr>
        <w:pStyle w:val="DefaultText1"/>
        <w:spacing w:before="120" w:line="276" w:lineRule="auto"/>
        <w:jc w:val="both"/>
        <w:rPr>
          <w:rFonts w:ascii="Mulish" w:hAnsi="Mulish"/>
          <w:bCs/>
          <w:noProof/>
          <w:sz w:val="22"/>
          <w:szCs w:val="22"/>
        </w:rPr>
      </w:pPr>
    </w:p>
    <w:p w14:paraId="3BD50786" w14:textId="77777777" w:rsidR="005041D0" w:rsidRDefault="005041D0">
      <w:pPr>
        <w:autoSpaceDE/>
        <w:autoSpaceDN/>
        <w:adjustRightInd/>
        <w:spacing w:after="160" w:line="259" w:lineRule="auto"/>
        <w:textAlignment w:val="auto"/>
        <w:rPr>
          <w:rFonts w:eastAsia="Times New Roman" w:cs="Times New Roman"/>
          <w:b/>
          <w:bCs/>
          <w:color w:val="auto"/>
          <w:sz w:val="24"/>
          <w:szCs w:val="24"/>
          <w:lang w:eastAsia="cs-CZ"/>
        </w:rPr>
      </w:pPr>
      <w:r>
        <w:rPr>
          <w:b/>
          <w:bCs/>
        </w:rPr>
        <w:br w:type="page"/>
      </w:r>
    </w:p>
    <w:p w14:paraId="57B245FE" w14:textId="0A3C0694" w:rsidR="00830024" w:rsidRPr="00C82B83" w:rsidRDefault="00830024" w:rsidP="00C82B83">
      <w:pPr>
        <w:pStyle w:val="DefaultText1"/>
        <w:jc w:val="center"/>
        <w:rPr>
          <w:rFonts w:ascii="Mulish" w:hAnsi="Mulish"/>
          <w:b/>
          <w:bCs/>
        </w:rPr>
      </w:pPr>
      <w:r w:rsidRPr="00C82B83">
        <w:rPr>
          <w:rFonts w:ascii="Mulish" w:hAnsi="Mulish"/>
          <w:b/>
          <w:bCs/>
        </w:rPr>
        <w:lastRenderedPageBreak/>
        <w:t>Kadmium (Cd)</w:t>
      </w:r>
    </w:p>
    <w:p w14:paraId="00602040" w14:textId="7437D018" w:rsidR="00830024" w:rsidRPr="0079316B" w:rsidRDefault="00830024" w:rsidP="00C82B83">
      <w:pPr>
        <w:pStyle w:val="DefaultText1"/>
        <w:spacing w:before="120" w:line="276" w:lineRule="auto"/>
        <w:jc w:val="both"/>
        <w:rPr>
          <w:rFonts w:ascii="Mulish" w:hAnsi="Mulish"/>
          <w:bCs/>
          <w:noProof/>
          <w:sz w:val="22"/>
          <w:szCs w:val="22"/>
        </w:rPr>
      </w:pPr>
      <w:r w:rsidRPr="0079316B">
        <w:rPr>
          <w:rFonts w:ascii="Mulish" w:hAnsi="Mulish"/>
          <w:bCs/>
          <w:noProof/>
          <w:sz w:val="22"/>
          <w:szCs w:val="22"/>
        </w:rPr>
        <w:t xml:space="preserve">Kov, jehož hlavním metabolickým rysem je mimořádně dlouhý biologický poločas, který má za následek prakticky nevratnou akumulaci kadmia v organizmu, zejména v ledvinách a játrech. Ledviny jsou kritickým orgánem pro chronickou expozici kadmiu, která vede k jejich poškození </w:t>
      </w:r>
      <w:r w:rsidR="00F37CA6">
        <w:rPr>
          <w:rFonts w:ascii="Mulish" w:hAnsi="Mulish"/>
          <w:bCs/>
          <w:noProof/>
          <w:sz w:val="22"/>
          <w:szCs w:val="22"/>
        </w:rPr>
        <w:br/>
      </w:r>
      <w:r w:rsidRPr="0079316B">
        <w:rPr>
          <w:rFonts w:ascii="Mulish" w:hAnsi="Mulish"/>
          <w:bCs/>
          <w:noProof/>
          <w:sz w:val="22"/>
          <w:szCs w:val="22"/>
        </w:rPr>
        <w:t xml:space="preserve">a ohrožení funkcí.  Kadmium způsobuje inhibici sulfhydrylových enzymů (vazbou na SH-skupinu), váže se v játrech na metaloproteiny, zasahuje do metabolismu sacharidů a inhibuje sekreci inzulínu. Kadmiové ionty jsou také účinnými blokátory kalciových kanálů, čímž dochází </w:t>
      </w:r>
      <w:r w:rsidR="00F37CA6">
        <w:rPr>
          <w:rFonts w:ascii="Mulish" w:hAnsi="Mulish"/>
          <w:bCs/>
          <w:noProof/>
          <w:sz w:val="22"/>
          <w:szCs w:val="22"/>
        </w:rPr>
        <w:br/>
      </w:r>
      <w:r w:rsidRPr="0079316B">
        <w:rPr>
          <w:rFonts w:ascii="Mulish" w:hAnsi="Mulish"/>
          <w:bCs/>
          <w:noProof/>
          <w:sz w:val="22"/>
          <w:szCs w:val="22"/>
        </w:rPr>
        <w:t xml:space="preserve">k přerušení šíření nervového vzruchu. Kadmium je toxické pro reprodukci (ohrožuje funkčnost </w:t>
      </w:r>
      <w:r w:rsidR="00F37CA6">
        <w:rPr>
          <w:rFonts w:ascii="Mulish" w:hAnsi="Mulish"/>
          <w:bCs/>
          <w:noProof/>
          <w:sz w:val="22"/>
          <w:szCs w:val="22"/>
        </w:rPr>
        <w:br/>
      </w:r>
      <w:r w:rsidRPr="0079316B">
        <w:rPr>
          <w:rFonts w:ascii="Mulish" w:hAnsi="Mulish"/>
          <w:bCs/>
          <w:noProof/>
          <w:sz w:val="22"/>
          <w:szCs w:val="22"/>
        </w:rPr>
        <w:t>a kvalitu spermií a poškozuje zárodečný epitel varlat), narušuje metabolismus ostatních kovů, kostní tkáň, imunitní i kardiovaskulární systém. Inhalační expozice kadmiu může způsobovat rakovinu plic u lidí a zvířat a poškození plodu. IARC klasifikovala kadmium a sloučeniny kadmia jako lidské karcinogeny skupiny 1. Hodnota jednotkového rizika převzatá od Světové zdravotnické organizace pro kadmium je odhadována na 4,9 × 10</w:t>
      </w:r>
      <w:r w:rsidRPr="0079316B">
        <w:rPr>
          <w:rFonts w:ascii="Mulish" w:hAnsi="Mulish"/>
          <w:bCs/>
          <w:noProof/>
          <w:sz w:val="22"/>
          <w:szCs w:val="22"/>
          <w:vertAlign w:val="superscript"/>
        </w:rPr>
        <w:t>-4</w:t>
      </w:r>
      <w:r w:rsidRPr="0079316B">
        <w:rPr>
          <w:rFonts w:ascii="Mulish" w:hAnsi="Mulish"/>
          <w:bCs/>
          <w:noProof/>
          <w:sz w:val="22"/>
          <w:szCs w:val="22"/>
        </w:rPr>
        <w:t>.</w:t>
      </w:r>
    </w:p>
    <w:tbl>
      <w:tblPr>
        <w:tblpPr w:leftFromText="141" w:rightFromText="141" w:vertAnchor="text" w:horzAnchor="margin" w:tblpXSpec="center" w:tblpY="508"/>
        <w:tblW w:w="9114" w:type="dxa"/>
        <w:jc w:val="center"/>
        <w:tblCellMar>
          <w:left w:w="70" w:type="dxa"/>
          <w:right w:w="70" w:type="dxa"/>
        </w:tblCellMar>
        <w:tblLook w:val="0000" w:firstRow="0" w:lastRow="0" w:firstColumn="0" w:lastColumn="0" w:noHBand="0" w:noVBand="0"/>
      </w:tblPr>
      <w:tblGrid>
        <w:gridCol w:w="2972"/>
        <w:gridCol w:w="746"/>
        <w:gridCol w:w="1097"/>
        <w:gridCol w:w="1039"/>
        <w:gridCol w:w="1371"/>
        <w:gridCol w:w="876"/>
        <w:gridCol w:w="1013"/>
      </w:tblGrid>
      <w:tr w:rsidR="00D00416" w:rsidRPr="00D66167" w14:paraId="7CBD8A44" w14:textId="77777777" w:rsidTr="00D00416">
        <w:trPr>
          <w:trHeight w:val="375"/>
          <w:jc w:val="center"/>
        </w:trPr>
        <w:tc>
          <w:tcPr>
            <w:tcW w:w="2972" w:type="dxa"/>
            <w:tcBorders>
              <w:top w:val="single" w:sz="4" w:space="0" w:color="auto"/>
              <w:left w:val="single" w:sz="4" w:space="0" w:color="auto"/>
              <w:bottom w:val="nil"/>
              <w:right w:val="single" w:sz="4" w:space="0" w:color="auto"/>
            </w:tcBorders>
            <w:shd w:val="clear" w:color="auto" w:fill="B4C6E7" w:themeFill="accent1" w:themeFillTint="66"/>
            <w:noWrap/>
            <w:vAlign w:val="center"/>
          </w:tcPr>
          <w:p w14:paraId="60D40317" w14:textId="77777777" w:rsidR="00D00416" w:rsidRPr="00D00416" w:rsidRDefault="00D00416" w:rsidP="00D00416">
            <w:pPr>
              <w:widowControl w:val="0"/>
              <w:rPr>
                <w:color w:val="auto"/>
              </w:rPr>
            </w:pPr>
            <w:r w:rsidRPr="00D00416">
              <w:rPr>
                <w:b/>
                <w:bCs/>
                <w:color w:val="auto"/>
              </w:rPr>
              <w:t>Kadmium</w:t>
            </w:r>
          </w:p>
        </w:tc>
        <w:tc>
          <w:tcPr>
            <w:tcW w:w="1843" w:type="dxa"/>
            <w:gridSpan w:val="2"/>
            <w:tcBorders>
              <w:top w:val="single" w:sz="4" w:space="0" w:color="auto"/>
              <w:left w:val="nil"/>
              <w:bottom w:val="nil"/>
              <w:right w:val="single" w:sz="4" w:space="0" w:color="000000"/>
            </w:tcBorders>
            <w:shd w:val="clear" w:color="auto" w:fill="B4C6E7" w:themeFill="accent1" w:themeFillTint="66"/>
            <w:noWrap/>
            <w:vAlign w:val="center"/>
          </w:tcPr>
          <w:p w14:paraId="40878630" w14:textId="77777777" w:rsidR="00D00416" w:rsidRPr="00D00416" w:rsidRDefault="00D00416" w:rsidP="00D00416">
            <w:pPr>
              <w:widowControl w:val="0"/>
              <w:jc w:val="center"/>
              <w:rPr>
                <w:color w:val="auto"/>
              </w:rPr>
            </w:pPr>
            <w:r w:rsidRPr="00D00416">
              <w:rPr>
                <w:color w:val="auto"/>
              </w:rPr>
              <w:t>roční průměry (</w:t>
            </w:r>
            <w:proofErr w:type="spellStart"/>
            <w:r w:rsidRPr="00D00416">
              <w:rPr>
                <w:color w:val="auto"/>
              </w:rPr>
              <w:t>ng</w:t>
            </w:r>
            <w:proofErr w:type="spellEnd"/>
            <w:r w:rsidRPr="00D00416">
              <w:rPr>
                <w:color w:val="auto"/>
              </w:rPr>
              <w:t>/m</w:t>
            </w:r>
            <w:r w:rsidRPr="00D00416">
              <w:rPr>
                <w:color w:val="auto"/>
                <w:vertAlign w:val="superscript"/>
              </w:rPr>
              <w:t>3</w:t>
            </w:r>
            <w:r w:rsidRPr="00D00416">
              <w:rPr>
                <w:color w:val="auto"/>
              </w:rPr>
              <w:t>)</w:t>
            </w:r>
          </w:p>
        </w:tc>
        <w:tc>
          <w:tcPr>
            <w:tcW w:w="2410" w:type="dxa"/>
            <w:gridSpan w:val="2"/>
            <w:tcBorders>
              <w:top w:val="single" w:sz="4" w:space="0" w:color="auto"/>
              <w:left w:val="nil"/>
              <w:bottom w:val="nil"/>
              <w:right w:val="single" w:sz="4" w:space="0" w:color="000000"/>
            </w:tcBorders>
            <w:shd w:val="clear" w:color="auto" w:fill="B4C6E7" w:themeFill="accent1" w:themeFillTint="66"/>
            <w:noWrap/>
            <w:vAlign w:val="center"/>
          </w:tcPr>
          <w:p w14:paraId="2A33AA71" w14:textId="77777777" w:rsidR="00D00416" w:rsidRPr="00D00416" w:rsidRDefault="00D00416" w:rsidP="00D00416">
            <w:pPr>
              <w:widowControl w:val="0"/>
              <w:jc w:val="center"/>
              <w:rPr>
                <w:color w:val="auto"/>
              </w:rPr>
            </w:pPr>
            <w:r w:rsidRPr="00D00416">
              <w:rPr>
                <w:color w:val="auto"/>
              </w:rPr>
              <w:t>karcinogenní riziko (ILCR)</w:t>
            </w:r>
          </w:p>
        </w:tc>
        <w:tc>
          <w:tcPr>
            <w:tcW w:w="1889" w:type="dxa"/>
            <w:gridSpan w:val="2"/>
            <w:tcBorders>
              <w:top w:val="single" w:sz="4" w:space="0" w:color="auto"/>
              <w:left w:val="nil"/>
              <w:bottom w:val="nil"/>
              <w:right w:val="single" w:sz="4" w:space="0" w:color="000000"/>
            </w:tcBorders>
            <w:shd w:val="clear" w:color="auto" w:fill="B4C6E7" w:themeFill="accent1" w:themeFillTint="66"/>
            <w:noWrap/>
            <w:vAlign w:val="center"/>
          </w:tcPr>
          <w:p w14:paraId="1B1E8413" w14:textId="77777777" w:rsidR="00D00416" w:rsidRPr="00D00416" w:rsidRDefault="00D00416" w:rsidP="00D00416">
            <w:pPr>
              <w:widowControl w:val="0"/>
              <w:jc w:val="center"/>
              <w:rPr>
                <w:color w:val="auto"/>
              </w:rPr>
            </w:pPr>
            <w:r w:rsidRPr="00D00416">
              <w:rPr>
                <w:color w:val="auto"/>
              </w:rPr>
              <w:t>populační riziko/70 let</w:t>
            </w:r>
          </w:p>
        </w:tc>
      </w:tr>
      <w:tr w:rsidR="00D00416" w:rsidRPr="00D66167" w14:paraId="2C53570D" w14:textId="77777777" w:rsidTr="00D00416">
        <w:trPr>
          <w:trHeight w:val="315"/>
          <w:jc w:val="center"/>
        </w:trPr>
        <w:tc>
          <w:tcPr>
            <w:tcW w:w="2972" w:type="dxa"/>
            <w:tcBorders>
              <w:top w:val="nil"/>
              <w:left w:val="single" w:sz="4" w:space="0" w:color="auto"/>
              <w:bottom w:val="single" w:sz="4" w:space="0" w:color="auto"/>
              <w:right w:val="single" w:sz="4" w:space="0" w:color="auto"/>
            </w:tcBorders>
            <w:shd w:val="clear" w:color="auto" w:fill="B4C6E7" w:themeFill="accent1" w:themeFillTint="66"/>
            <w:noWrap/>
            <w:vAlign w:val="center"/>
          </w:tcPr>
          <w:p w14:paraId="0E6E49D8" w14:textId="77777777" w:rsidR="00D00416" w:rsidRPr="00D00416" w:rsidRDefault="00D00416" w:rsidP="00D00416">
            <w:pPr>
              <w:widowControl w:val="0"/>
              <w:rPr>
                <w:color w:val="auto"/>
              </w:rPr>
            </w:pPr>
            <w:r w:rsidRPr="00D00416">
              <w:rPr>
                <w:color w:val="auto"/>
              </w:rPr>
              <w:t>2022</w:t>
            </w:r>
          </w:p>
        </w:tc>
        <w:tc>
          <w:tcPr>
            <w:tcW w:w="746" w:type="dxa"/>
            <w:tcBorders>
              <w:top w:val="nil"/>
              <w:left w:val="nil"/>
              <w:bottom w:val="single" w:sz="4" w:space="0" w:color="auto"/>
              <w:right w:val="nil"/>
            </w:tcBorders>
            <w:shd w:val="clear" w:color="auto" w:fill="B4C6E7" w:themeFill="accent1" w:themeFillTint="66"/>
            <w:noWrap/>
            <w:vAlign w:val="center"/>
          </w:tcPr>
          <w:p w14:paraId="38138FC1" w14:textId="7D29E255" w:rsidR="00D00416" w:rsidRPr="00D00416" w:rsidRDefault="00672A19" w:rsidP="00672A19">
            <w:pPr>
              <w:widowControl w:val="0"/>
              <w:jc w:val="center"/>
              <w:rPr>
                <w:color w:val="auto"/>
              </w:rPr>
            </w:pPr>
            <w:r>
              <w:rPr>
                <w:color w:val="auto"/>
              </w:rPr>
              <w:t>M</w:t>
            </w:r>
            <w:r w:rsidR="00D00416" w:rsidRPr="00D00416">
              <w:rPr>
                <w:color w:val="auto"/>
              </w:rPr>
              <w:t>in</w:t>
            </w:r>
          </w:p>
        </w:tc>
        <w:tc>
          <w:tcPr>
            <w:tcW w:w="1097" w:type="dxa"/>
            <w:tcBorders>
              <w:top w:val="nil"/>
              <w:left w:val="nil"/>
              <w:bottom w:val="single" w:sz="4" w:space="0" w:color="auto"/>
              <w:right w:val="nil"/>
            </w:tcBorders>
            <w:shd w:val="clear" w:color="auto" w:fill="B4C6E7" w:themeFill="accent1" w:themeFillTint="66"/>
            <w:noWrap/>
            <w:vAlign w:val="center"/>
          </w:tcPr>
          <w:p w14:paraId="617EA000" w14:textId="13768659" w:rsidR="00D00416" w:rsidRPr="00D00416" w:rsidRDefault="00672A19" w:rsidP="00672A19">
            <w:pPr>
              <w:widowControl w:val="0"/>
              <w:jc w:val="center"/>
              <w:rPr>
                <w:color w:val="auto"/>
              </w:rPr>
            </w:pPr>
            <w:r>
              <w:rPr>
                <w:color w:val="auto"/>
              </w:rPr>
              <w:t>M</w:t>
            </w:r>
            <w:r w:rsidR="00D00416" w:rsidRPr="00D00416">
              <w:rPr>
                <w:color w:val="auto"/>
              </w:rPr>
              <w:t>ax</w:t>
            </w:r>
          </w:p>
        </w:tc>
        <w:tc>
          <w:tcPr>
            <w:tcW w:w="1039" w:type="dxa"/>
            <w:tcBorders>
              <w:top w:val="nil"/>
              <w:left w:val="single" w:sz="4" w:space="0" w:color="auto"/>
              <w:bottom w:val="single" w:sz="4" w:space="0" w:color="auto"/>
              <w:right w:val="nil"/>
            </w:tcBorders>
            <w:shd w:val="clear" w:color="auto" w:fill="B4C6E7" w:themeFill="accent1" w:themeFillTint="66"/>
            <w:noWrap/>
            <w:vAlign w:val="center"/>
          </w:tcPr>
          <w:p w14:paraId="51CD0561" w14:textId="17A04796" w:rsidR="00D00416" w:rsidRPr="00D00416" w:rsidRDefault="00672A19" w:rsidP="00672A19">
            <w:pPr>
              <w:widowControl w:val="0"/>
              <w:jc w:val="center"/>
              <w:rPr>
                <w:color w:val="auto"/>
              </w:rPr>
            </w:pPr>
            <w:r>
              <w:rPr>
                <w:color w:val="auto"/>
              </w:rPr>
              <w:t>M</w:t>
            </w:r>
            <w:r w:rsidR="00D00416" w:rsidRPr="00D00416">
              <w:rPr>
                <w:color w:val="auto"/>
              </w:rPr>
              <w:t>in</w:t>
            </w:r>
          </w:p>
        </w:tc>
        <w:tc>
          <w:tcPr>
            <w:tcW w:w="1371" w:type="dxa"/>
            <w:tcBorders>
              <w:top w:val="nil"/>
              <w:left w:val="nil"/>
              <w:bottom w:val="single" w:sz="4" w:space="0" w:color="auto"/>
              <w:right w:val="single" w:sz="4" w:space="0" w:color="auto"/>
            </w:tcBorders>
            <w:shd w:val="clear" w:color="auto" w:fill="B4C6E7" w:themeFill="accent1" w:themeFillTint="66"/>
            <w:noWrap/>
            <w:vAlign w:val="center"/>
          </w:tcPr>
          <w:p w14:paraId="41542ADD" w14:textId="091DFCF4" w:rsidR="00D00416" w:rsidRPr="00D00416" w:rsidRDefault="00672A19" w:rsidP="00672A19">
            <w:pPr>
              <w:widowControl w:val="0"/>
              <w:jc w:val="center"/>
              <w:rPr>
                <w:color w:val="auto"/>
              </w:rPr>
            </w:pPr>
            <w:r>
              <w:rPr>
                <w:color w:val="auto"/>
              </w:rPr>
              <w:t>M</w:t>
            </w:r>
            <w:r w:rsidR="00D00416" w:rsidRPr="00D00416">
              <w:rPr>
                <w:color w:val="auto"/>
              </w:rPr>
              <w:t>ax</w:t>
            </w:r>
          </w:p>
        </w:tc>
        <w:tc>
          <w:tcPr>
            <w:tcW w:w="876" w:type="dxa"/>
            <w:tcBorders>
              <w:top w:val="nil"/>
              <w:left w:val="nil"/>
              <w:bottom w:val="single" w:sz="4" w:space="0" w:color="auto"/>
              <w:right w:val="nil"/>
            </w:tcBorders>
            <w:shd w:val="clear" w:color="auto" w:fill="B4C6E7" w:themeFill="accent1" w:themeFillTint="66"/>
            <w:noWrap/>
            <w:vAlign w:val="center"/>
          </w:tcPr>
          <w:p w14:paraId="54FD24D8" w14:textId="197279EC" w:rsidR="00D00416" w:rsidRPr="00D00416" w:rsidRDefault="00672A19" w:rsidP="00672A19">
            <w:pPr>
              <w:widowControl w:val="0"/>
              <w:jc w:val="center"/>
              <w:rPr>
                <w:color w:val="auto"/>
              </w:rPr>
            </w:pPr>
            <w:r>
              <w:rPr>
                <w:color w:val="auto"/>
              </w:rPr>
              <w:t>M</w:t>
            </w:r>
            <w:r w:rsidR="00D00416" w:rsidRPr="00D00416">
              <w:rPr>
                <w:color w:val="auto"/>
              </w:rPr>
              <w:t>in</w:t>
            </w:r>
          </w:p>
        </w:tc>
        <w:tc>
          <w:tcPr>
            <w:tcW w:w="1013" w:type="dxa"/>
            <w:tcBorders>
              <w:top w:val="nil"/>
              <w:left w:val="nil"/>
              <w:bottom w:val="single" w:sz="4" w:space="0" w:color="auto"/>
              <w:right w:val="single" w:sz="4" w:space="0" w:color="auto"/>
            </w:tcBorders>
            <w:shd w:val="clear" w:color="auto" w:fill="B4C6E7" w:themeFill="accent1" w:themeFillTint="66"/>
            <w:noWrap/>
            <w:vAlign w:val="center"/>
          </w:tcPr>
          <w:p w14:paraId="0E7B5407" w14:textId="63865471" w:rsidR="00D00416" w:rsidRPr="00D00416" w:rsidRDefault="00672A19" w:rsidP="00672A19">
            <w:pPr>
              <w:widowControl w:val="0"/>
              <w:jc w:val="center"/>
              <w:rPr>
                <w:color w:val="auto"/>
              </w:rPr>
            </w:pPr>
            <w:r>
              <w:rPr>
                <w:color w:val="auto"/>
              </w:rPr>
              <w:t>M</w:t>
            </w:r>
            <w:r w:rsidR="00D00416" w:rsidRPr="00D00416">
              <w:rPr>
                <w:color w:val="auto"/>
              </w:rPr>
              <w:t>ax</w:t>
            </w:r>
          </w:p>
        </w:tc>
      </w:tr>
      <w:tr w:rsidR="00D00416" w:rsidRPr="00D66167" w14:paraId="7CB5C437" w14:textId="77777777" w:rsidTr="00D00416">
        <w:trPr>
          <w:trHeight w:val="315"/>
          <w:jc w:val="center"/>
        </w:trPr>
        <w:tc>
          <w:tcPr>
            <w:tcW w:w="2972" w:type="dxa"/>
            <w:tcBorders>
              <w:top w:val="nil"/>
              <w:left w:val="single" w:sz="4" w:space="0" w:color="auto"/>
              <w:bottom w:val="nil"/>
              <w:right w:val="nil"/>
            </w:tcBorders>
            <w:shd w:val="clear" w:color="auto" w:fill="B4C6E7" w:themeFill="accent1" w:themeFillTint="66"/>
            <w:noWrap/>
            <w:vAlign w:val="bottom"/>
          </w:tcPr>
          <w:p w14:paraId="143F64A4" w14:textId="77777777" w:rsidR="00D00416" w:rsidRPr="00D00416" w:rsidRDefault="00D00416" w:rsidP="00D00416">
            <w:pPr>
              <w:widowControl w:val="0"/>
              <w:rPr>
                <w:color w:val="auto"/>
              </w:rPr>
            </w:pPr>
            <w:r w:rsidRPr="00D00416">
              <w:rPr>
                <w:color w:val="auto"/>
              </w:rPr>
              <w:t>ČR (10,5 mil. obyvatel)</w:t>
            </w:r>
          </w:p>
        </w:tc>
        <w:tc>
          <w:tcPr>
            <w:tcW w:w="746" w:type="dxa"/>
            <w:tcBorders>
              <w:top w:val="single" w:sz="4" w:space="0" w:color="auto"/>
              <w:left w:val="single" w:sz="4" w:space="0" w:color="auto"/>
              <w:bottom w:val="nil"/>
              <w:right w:val="nil"/>
            </w:tcBorders>
            <w:shd w:val="clear" w:color="auto" w:fill="auto"/>
            <w:noWrap/>
            <w:vAlign w:val="center"/>
          </w:tcPr>
          <w:p w14:paraId="5F04B607" w14:textId="77777777" w:rsidR="00D00416" w:rsidRPr="007E597D" w:rsidRDefault="00D00416" w:rsidP="00D00416">
            <w:pPr>
              <w:widowControl w:val="0"/>
              <w:jc w:val="center"/>
              <w:rPr>
                <w:color w:val="auto"/>
              </w:rPr>
            </w:pPr>
            <w:r w:rsidRPr="007E597D">
              <w:rPr>
                <w:color w:val="auto"/>
              </w:rPr>
              <w:t>0,03</w:t>
            </w:r>
          </w:p>
        </w:tc>
        <w:tc>
          <w:tcPr>
            <w:tcW w:w="1097" w:type="dxa"/>
            <w:tcBorders>
              <w:top w:val="single" w:sz="4" w:space="0" w:color="auto"/>
              <w:left w:val="nil"/>
              <w:bottom w:val="nil"/>
              <w:right w:val="nil"/>
            </w:tcBorders>
            <w:shd w:val="clear" w:color="auto" w:fill="auto"/>
            <w:noWrap/>
            <w:vAlign w:val="center"/>
          </w:tcPr>
          <w:p w14:paraId="52C80B33" w14:textId="53071E04" w:rsidR="00D00416" w:rsidRPr="007E597D" w:rsidRDefault="007E597D" w:rsidP="007E597D">
            <w:pPr>
              <w:widowControl w:val="0"/>
              <w:jc w:val="center"/>
              <w:rPr>
                <w:color w:val="auto"/>
              </w:rPr>
            </w:pPr>
            <w:r w:rsidRPr="007E597D">
              <w:rPr>
                <w:color w:val="auto"/>
              </w:rPr>
              <w:t>2</w:t>
            </w:r>
            <w:r w:rsidR="00D00416" w:rsidRPr="007E597D">
              <w:rPr>
                <w:color w:val="auto"/>
              </w:rPr>
              <w:t>,</w:t>
            </w:r>
            <w:r w:rsidRPr="007E597D">
              <w:rPr>
                <w:color w:val="auto"/>
              </w:rPr>
              <w:t>21</w:t>
            </w:r>
          </w:p>
        </w:tc>
        <w:tc>
          <w:tcPr>
            <w:tcW w:w="1039" w:type="dxa"/>
            <w:tcBorders>
              <w:top w:val="single" w:sz="4" w:space="0" w:color="auto"/>
              <w:left w:val="single" w:sz="4" w:space="0" w:color="auto"/>
              <w:bottom w:val="nil"/>
              <w:right w:val="nil"/>
            </w:tcBorders>
            <w:shd w:val="clear" w:color="auto" w:fill="auto"/>
            <w:noWrap/>
            <w:vAlign w:val="center"/>
          </w:tcPr>
          <w:p w14:paraId="5F628981" w14:textId="77777777" w:rsidR="00D00416" w:rsidRPr="00A76EBC" w:rsidRDefault="00D00416" w:rsidP="00D00416">
            <w:pPr>
              <w:widowControl w:val="0"/>
              <w:jc w:val="center"/>
              <w:rPr>
                <w:color w:val="auto"/>
              </w:rPr>
            </w:pPr>
            <w:r w:rsidRPr="00A76EBC">
              <w:rPr>
                <w:color w:val="auto"/>
              </w:rPr>
              <w:t>1,47E-08</w:t>
            </w:r>
          </w:p>
        </w:tc>
        <w:tc>
          <w:tcPr>
            <w:tcW w:w="1371" w:type="dxa"/>
            <w:tcBorders>
              <w:top w:val="single" w:sz="4" w:space="0" w:color="auto"/>
              <w:left w:val="nil"/>
              <w:bottom w:val="nil"/>
              <w:right w:val="single" w:sz="4" w:space="0" w:color="auto"/>
            </w:tcBorders>
            <w:shd w:val="clear" w:color="auto" w:fill="auto"/>
            <w:noWrap/>
            <w:vAlign w:val="center"/>
          </w:tcPr>
          <w:p w14:paraId="6241FBDE" w14:textId="60D86F94" w:rsidR="00D00416" w:rsidRPr="00A76EBC" w:rsidRDefault="00A76EBC" w:rsidP="00D00416">
            <w:pPr>
              <w:widowControl w:val="0"/>
              <w:jc w:val="center"/>
              <w:rPr>
                <w:color w:val="auto"/>
              </w:rPr>
            </w:pPr>
            <w:r w:rsidRPr="00A76EBC">
              <w:rPr>
                <w:color w:val="auto"/>
              </w:rPr>
              <w:t>1,08E-06</w:t>
            </w:r>
          </w:p>
        </w:tc>
        <w:tc>
          <w:tcPr>
            <w:tcW w:w="876" w:type="dxa"/>
            <w:tcBorders>
              <w:top w:val="single" w:sz="4" w:space="0" w:color="auto"/>
              <w:left w:val="nil"/>
              <w:bottom w:val="nil"/>
              <w:right w:val="nil"/>
            </w:tcBorders>
            <w:shd w:val="clear" w:color="auto" w:fill="auto"/>
            <w:noWrap/>
            <w:vAlign w:val="center"/>
          </w:tcPr>
          <w:p w14:paraId="186863F8" w14:textId="725F19AF" w:rsidR="00D00416" w:rsidRPr="00082E69" w:rsidRDefault="00D00416" w:rsidP="00082E69">
            <w:pPr>
              <w:widowControl w:val="0"/>
              <w:jc w:val="center"/>
              <w:rPr>
                <w:color w:val="auto"/>
              </w:rPr>
            </w:pPr>
            <w:r w:rsidRPr="00082E69">
              <w:rPr>
                <w:color w:val="auto"/>
              </w:rPr>
              <w:t>0,00</w:t>
            </w:r>
            <w:r w:rsidR="00082E69" w:rsidRPr="00082E69">
              <w:rPr>
                <w:color w:val="auto"/>
              </w:rPr>
              <w:t>3</w:t>
            </w:r>
          </w:p>
        </w:tc>
        <w:tc>
          <w:tcPr>
            <w:tcW w:w="1013" w:type="dxa"/>
            <w:tcBorders>
              <w:top w:val="single" w:sz="4" w:space="0" w:color="auto"/>
              <w:left w:val="nil"/>
              <w:bottom w:val="nil"/>
              <w:right w:val="single" w:sz="4" w:space="0" w:color="auto"/>
            </w:tcBorders>
            <w:shd w:val="clear" w:color="auto" w:fill="auto"/>
            <w:noWrap/>
            <w:vAlign w:val="center"/>
          </w:tcPr>
          <w:p w14:paraId="77CFDF48" w14:textId="458F1F22" w:rsidR="00D00416" w:rsidRPr="00082E69" w:rsidRDefault="00D00416" w:rsidP="00082E69">
            <w:pPr>
              <w:widowControl w:val="0"/>
              <w:jc w:val="center"/>
              <w:rPr>
                <w:color w:val="auto"/>
              </w:rPr>
            </w:pPr>
            <w:r w:rsidRPr="00082E69">
              <w:rPr>
                <w:color w:val="auto"/>
              </w:rPr>
              <w:t>0,1</w:t>
            </w:r>
            <w:r w:rsidR="00082E69" w:rsidRPr="00082E69">
              <w:rPr>
                <w:color w:val="auto"/>
              </w:rPr>
              <w:t>62</w:t>
            </w:r>
          </w:p>
        </w:tc>
      </w:tr>
      <w:tr w:rsidR="00D00416" w:rsidRPr="00D66167" w14:paraId="74817506" w14:textId="77777777" w:rsidTr="00D00416">
        <w:trPr>
          <w:trHeight w:val="315"/>
          <w:jc w:val="center"/>
        </w:trPr>
        <w:tc>
          <w:tcPr>
            <w:tcW w:w="2972" w:type="dxa"/>
            <w:tcBorders>
              <w:top w:val="nil"/>
              <w:left w:val="single" w:sz="4" w:space="0" w:color="auto"/>
              <w:bottom w:val="nil"/>
              <w:right w:val="nil"/>
            </w:tcBorders>
            <w:shd w:val="clear" w:color="auto" w:fill="B4C6E7" w:themeFill="accent1" w:themeFillTint="66"/>
            <w:noWrap/>
            <w:vAlign w:val="bottom"/>
          </w:tcPr>
          <w:p w14:paraId="643563F2" w14:textId="77777777" w:rsidR="00D00416" w:rsidRPr="00D00416" w:rsidRDefault="00D00416" w:rsidP="00D00416">
            <w:pPr>
              <w:widowControl w:val="0"/>
              <w:rPr>
                <w:color w:val="auto"/>
              </w:rPr>
            </w:pPr>
            <w:r w:rsidRPr="00D00416">
              <w:rPr>
                <w:color w:val="auto"/>
              </w:rPr>
              <w:t>města (nad 5 tis. – 5,2 mil. ob.)</w:t>
            </w:r>
          </w:p>
        </w:tc>
        <w:tc>
          <w:tcPr>
            <w:tcW w:w="746" w:type="dxa"/>
            <w:tcBorders>
              <w:top w:val="nil"/>
              <w:left w:val="single" w:sz="4" w:space="0" w:color="auto"/>
              <w:bottom w:val="nil"/>
              <w:right w:val="nil"/>
            </w:tcBorders>
            <w:shd w:val="clear" w:color="auto" w:fill="auto"/>
            <w:noWrap/>
            <w:vAlign w:val="center"/>
          </w:tcPr>
          <w:p w14:paraId="6F481F64" w14:textId="425EDD31" w:rsidR="00D00416" w:rsidRPr="007E597D" w:rsidRDefault="00D00416" w:rsidP="007E597D">
            <w:pPr>
              <w:widowControl w:val="0"/>
              <w:jc w:val="center"/>
              <w:rPr>
                <w:color w:val="auto"/>
              </w:rPr>
            </w:pPr>
            <w:r w:rsidRPr="007E597D">
              <w:rPr>
                <w:color w:val="auto"/>
              </w:rPr>
              <w:t>0,0</w:t>
            </w:r>
            <w:r w:rsidR="007E597D" w:rsidRPr="007E597D">
              <w:rPr>
                <w:color w:val="auto"/>
              </w:rPr>
              <w:t>8</w:t>
            </w:r>
          </w:p>
        </w:tc>
        <w:tc>
          <w:tcPr>
            <w:tcW w:w="1097" w:type="dxa"/>
            <w:tcBorders>
              <w:top w:val="nil"/>
              <w:left w:val="nil"/>
              <w:bottom w:val="nil"/>
              <w:right w:val="nil"/>
            </w:tcBorders>
            <w:shd w:val="clear" w:color="auto" w:fill="auto"/>
            <w:noWrap/>
            <w:vAlign w:val="center"/>
          </w:tcPr>
          <w:p w14:paraId="3CE92F6C" w14:textId="604C4AA5" w:rsidR="00D00416" w:rsidRPr="007E597D" w:rsidRDefault="00D00416" w:rsidP="007E597D">
            <w:pPr>
              <w:widowControl w:val="0"/>
              <w:jc w:val="center"/>
              <w:rPr>
                <w:color w:val="auto"/>
              </w:rPr>
            </w:pPr>
            <w:r w:rsidRPr="007E597D">
              <w:rPr>
                <w:color w:val="auto"/>
              </w:rPr>
              <w:t>0,</w:t>
            </w:r>
            <w:r w:rsidR="007E597D" w:rsidRPr="007E597D">
              <w:rPr>
                <w:color w:val="auto"/>
              </w:rPr>
              <w:t>30</w:t>
            </w:r>
          </w:p>
        </w:tc>
        <w:tc>
          <w:tcPr>
            <w:tcW w:w="1039" w:type="dxa"/>
            <w:tcBorders>
              <w:top w:val="nil"/>
              <w:left w:val="single" w:sz="4" w:space="0" w:color="auto"/>
              <w:bottom w:val="nil"/>
              <w:right w:val="nil"/>
            </w:tcBorders>
            <w:shd w:val="clear" w:color="auto" w:fill="auto"/>
            <w:noWrap/>
            <w:vAlign w:val="center"/>
          </w:tcPr>
          <w:p w14:paraId="58CD11E2" w14:textId="34020275" w:rsidR="00D00416" w:rsidRPr="00A76EBC" w:rsidRDefault="00A76EBC" w:rsidP="00D00416">
            <w:pPr>
              <w:widowControl w:val="0"/>
              <w:jc w:val="center"/>
              <w:rPr>
                <w:color w:val="auto"/>
              </w:rPr>
            </w:pPr>
            <w:r w:rsidRPr="00A76EBC">
              <w:rPr>
                <w:color w:val="auto"/>
              </w:rPr>
              <w:t>3,92</w:t>
            </w:r>
            <w:r w:rsidR="00D00416" w:rsidRPr="00A76EBC">
              <w:rPr>
                <w:color w:val="auto"/>
              </w:rPr>
              <w:t>E-08</w:t>
            </w:r>
          </w:p>
        </w:tc>
        <w:tc>
          <w:tcPr>
            <w:tcW w:w="1371" w:type="dxa"/>
            <w:tcBorders>
              <w:top w:val="nil"/>
              <w:left w:val="nil"/>
              <w:bottom w:val="nil"/>
              <w:right w:val="single" w:sz="4" w:space="0" w:color="auto"/>
            </w:tcBorders>
            <w:shd w:val="clear" w:color="auto" w:fill="auto"/>
            <w:noWrap/>
            <w:vAlign w:val="center"/>
          </w:tcPr>
          <w:p w14:paraId="4E33E829" w14:textId="469AAF31" w:rsidR="00D00416" w:rsidRPr="00A76EBC" w:rsidRDefault="00D00416" w:rsidP="00A76EBC">
            <w:pPr>
              <w:widowControl w:val="0"/>
              <w:jc w:val="center"/>
              <w:rPr>
                <w:color w:val="auto"/>
              </w:rPr>
            </w:pPr>
            <w:r w:rsidRPr="00A76EBC">
              <w:rPr>
                <w:color w:val="auto"/>
              </w:rPr>
              <w:t>1,4</w:t>
            </w:r>
            <w:r w:rsidR="00A76EBC" w:rsidRPr="00A76EBC">
              <w:rPr>
                <w:color w:val="auto"/>
              </w:rPr>
              <w:t>7</w:t>
            </w:r>
            <w:r w:rsidRPr="00A76EBC">
              <w:rPr>
                <w:color w:val="auto"/>
              </w:rPr>
              <w:t>E-07</w:t>
            </w:r>
          </w:p>
        </w:tc>
        <w:tc>
          <w:tcPr>
            <w:tcW w:w="876" w:type="dxa"/>
            <w:tcBorders>
              <w:top w:val="nil"/>
              <w:left w:val="nil"/>
              <w:bottom w:val="nil"/>
              <w:right w:val="nil"/>
            </w:tcBorders>
            <w:shd w:val="clear" w:color="auto" w:fill="auto"/>
            <w:noWrap/>
            <w:vAlign w:val="center"/>
          </w:tcPr>
          <w:p w14:paraId="385E5DAA" w14:textId="0428FA92" w:rsidR="00D00416" w:rsidRPr="00082E69" w:rsidRDefault="00D00416" w:rsidP="00082E69">
            <w:pPr>
              <w:widowControl w:val="0"/>
              <w:jc w:val="center"/>
              <w:rPr>
                <w:color w:val="auto"/>
              </w:rPr>
            </w:pPr>
            <w:r w:rsidRPr="00082E69">
              <w:rPr>
                <w:color w:val="auto"/>
              </w:rPr>
              <w:t>0,00</w:t>
            </w:r>
            <w:r w:rsidR="00082E69" w:rsidRPr="00082E69">
              <w:rPr>
                <w:color w:val="auto"/>
              </w:rPr>
              <w:t>3</w:t>
            </w:r>
          </w:p>
        </w:tc>
        <w:tc>
          <w:tcPr>
            <w:tcW w:w="1013" w:type="dxa"/>
            <w:tcBorders>
              <w:top w:val="nil"/>
              <w:left w:val="nil"/>
              <w:bottom w:val="nil"/>
              <w:right w:val="single" w:sz="4" w:space="0" w:color="auto"/>
            </w:tcBorders>
            <w:shd w:val="clear" w:color="auto" w:fill="auto"/>
            <w:noWrap/>
            <w:vAlign w:val="center"/>
          </w:tcPr>
          <w:p w14:paraId="173C0466" w14:textId="221C1680" w:rsidR="00D00416" w:rsidRPr="00082E69" w:rsidRDefault="00D00416" w:rsidP="00082E69">
            <w:pPr>
              <w:widowControl w:val="0"/>
              <w:jc w:val="center"/>
              <w:rPr>
                <w:color w:val="auto"/>
              </w:rPr>
            </w:pPr>
            <w:r w:rsidRPr="00082E69">
              <w:rPr>
                <w:color w:val="auto"/>
              </w:rPr>
              <w:t>0,01</w:t>
            </w:r>
            <w:r w:rsidR="00082E69" w:rsidRPr="00082E69">
              <w:rPr>
                <w:color w:val="auto"/>
              </w:rPr>
              <w:t>1</w:t>
            </w:r>
          </w:p>
        </w:tc>
      </w:tr>
      <w:tr w:rsidR="00D00416" w:rsidRPr="00D66167" w14:paraId="2D9CA649" w14:textId="77777777" w:rsidTr="00D00416">
        <w:trPr>
          <w:trHeight w:val="315"/>
          <w:jc w:val="center"/>
        </w:trPr>
        <w:tc>
          <w:tcPr>
            <w:tcW w:w="2972" w:type="dxa"/>
            <w:tcBorders>
              <w:top w:val="nil"/>
              <w:left w:val="single" w:sz="4" w:space="0" w:color="auto"/>
              <w:bottom w:val="nil"/>
              <w:right w:val="nil"/>
            </w:tcBorders>
            <w:shd w:val="clear" w:color="auto" w:fill="B4C6E7" w:themeFill="accent1" w:themeFillTint="66"/>
            <w:noWrap/>
            <w:vAlign w:val="center"/>
          </w:tcPr>
          <w:p w14:paraId="25735B52" w14:textId="77777777" w:rsidR="00D00416" w:rsidRPr="00D00416" w:rsidRDefault="00D00416" w:rsidP="00D00416">
            <w:pPr>
              <w:widowControl w:val="0"/>
              <w:jc w:val="right"/>
              <w:rPr>
                <w:color w:val="auto"/>
              </w:rPr>
            </w:pPr>
            <w:r w:rsidRPr="00D00416">
              <w:rPr>
                <w:color w:val="auto"/>
              </w:rPr>
              <w:t>lokality bez dopravní zátěže</w:t>
            </w:r>
          </w:p>
        </w:tc>
        <w:tc>
          <w:tcPr>
            <w:tcW w:w="746" w:type="dxa"/>
            <w:tcBorders>
              <w:top w:val="nil"/>
              <w:left w:val="single" w:sz="4" w:space="0" w:color="auto"/>
              <w:bottom w:val="nil"/>
              <w:right w:val="nil"/>
            </w:tcBorders>
            <w:shd w:val="clear" w:color="auto" w:fill="auto"/>
            <w:noWrap/>
            <w:vAlign w:val="center"/>
          </w:tcPr>
          <w:p w14:paraId="5583213E" w14:textId="6E48D662" w:rsidR="00D00416" w:rsidRPr="007E597D" w:rsidRDefault="00D00416" w:rsidP="007E597D">
            <w:pPr>
              <w:widowControl w:val="0"/>
              <w:jc w:val="center"/>
              <w:rPr>
                <w:color w:val="auto"/>
              </w:rPr>
            </w:pPr>
            <w:r w:rsidRPr="007E597D">
              <w:rPr>
                <w:color w:val="auto"/>
              </w:rPr>
              <w:t>0,</w:t>
            </w:r>
            <w:r w:rsidR="007E597D" w:rsidRPr="007E597D">
              <w:rPr>
                <w:color w:val="auto"/>
              </w:rPr>
              <w:t>08</w:t>
            </w:r>
          </w:p>
        </w:tc>
        <w:tc>
          <w:tcPr>
            <w:tcW w:w="1097" w:type="dxa"/>
            <w:tcBorders>
              <w:top w:val="nil"/>
              <w:left w:val="nil"/>
              <w:bottom w:val="nil"/>
              <w:right w:val="nil"/>
            </w:tcBorders>
            <w:shd w:val="clear" w:color="auto" w:fill="auto"/>
            <w:noWrap/>
            <w:vAlign w:val="center"/>
          </w:tcPr>
          <w:p w14:paraId="229F3A2A" w14:textId="1825C0CB" w:rsidR="00D00416" w:rsidRPr="007E597D" w:rsidRDefault="00D00416" w:rsidP="007E597D">
            <w:pPr>
              <w:widowControl w:val="0"/>
              <w:jc w:val="center"/>
              <w:rPr>
                <w:color w:val="auto"/>
              </w:rPr>
            </w:pPr>
            <w:r w:rsidRPr="007E597D">
              <w:rPr>
                <w:color w:val="auto"/>
              </w:rPr>
              <w:t>0,2</w:t>
            </w:r>
            <w:r w:rsidR="007E597D" w:rsidRPr="007E597D">
              <w:rPr>
                <w:color w:val="auto"/>
              </w:rPr>
              <w:t>2</w:t>
            </w:r>
          </w:p>
        </w:tc>
        <w:tc>
          <w:tcPr>
            <w:tcW w:w="1039" w:type="dxa"/>
            <w:tcBorders>
              <w:top w:val="nil"/>
              <w:left w:val="single" w:sz="4" w:space="0" w:color="auto"/>
              <w:bottom w:val="nil"/>
              <w:right w:val="nil"/>
            </w:tcBorders>
            <w:shd w:val="clear" w:color="auto" w:fill="auto"/>
            <w:noWrap/>
            <w:vAlign w:val="center"/>
          </w:tcPr>
          <w:p w14:paraId="518733A6" w14:textId="4BFE8D8C" w:rsidR="00D00416" w:rsidRPr="00A76EBC" w:rsidRDefault="00A76EBC" w:rsidP="00A76EBC">
            <w:pPr>
              <w:widowControl w:val="0"/>
              <w:jc w:val="center"/>
              <w:rPr>
                <w:color w:val="auto"/>
              </w:rPr>
            </w:pPr>
            <w:r w:rsidRPr="00A76EBC">
              <w:rPr>
                <w:color w:val="auto"/>
              </w:rPr>
              <w:t>3</w:t>
            </w:r>
            <w:r w:rsidR="00D00416" w:rsidRPr="00A76EBC">
              <w:rPr>
                <w:color w:val="auto"/>
              </w:rPr>
              <w:t>,</w:t>
            </w:r>
            <w:r w:rsidRPr="00A76EBC">
              <w:rPr>
                <w:color w:val="auto"/>
              </w:rPr>
              <w:t>92</w:t>
            </w:r>
            <w:r w:rsidR="00D00416" w:rsidRPr="00A76EBC">
              <w:rPr>
                <w:color w:val="auto"/>
              </w:rPr>
              <w:t>E-08</w:t>
            </w:r>
          </w:p>
        </w:tc>
        <w:tc>
          <w:tcPr>
            <w:tcW w:w="1371" w:type="dxa"/>
            <w:tcBorders>
              <w:top w:val="nil"/>
              <w:left w:val="nil"/>
              <w:bottom w:val="nil"/>
              <w:right w:val="single" w:sz="4" w:space="0" w:color="auto"/>
            </w:tcBorders>
            <w:shd w:val="clear" w:color="auto" w:fill="auto"/>
            <w:noWrap/>
            <w:vAlign w:val="center"/>
          </w:tcPr>
          <w:p w14:paraId="4AD551B4" w14:textId="5AFFE401" w:rsidR="00D00416" w:rsidRPr="00A76EBC" w:rsidRDefault="00D00416" w:rsidP="00A76EBC">
            <w:pPr>
              <w:widowControl w:val="0"/>
              <w:jc w:val="center"/>
              <w:rPr>
                <w:color w:val="auto"/>
              </w:rPr>
            </w:pPr>
            <w:r w:rsidRPr="00A76EBC">
              <w:rPr>
                <w:color w:val="auto"/>
              </w:rPr>
              <w:t>1,</w:t>
            </w:r>
            <w:r w:rsidR="00A76EBC" w:rsidRPr="00A76EBC">
              <w:rPr>
                <w:color w:val="auto"/>
              </w:rPr>
              <w:t>08</w:t>
            </w:r>
            <w:r w:rsidRPr="00A76EBC">
              <w:rPr>
                <w:color w:val="auto"/>
              </w:rPr>
              <w:t>E-07</w:t>
            </w:r>
          </w:p>
        </w:tc>
        <w:tc>
          <w:tcPr>
            <w:tcW w:w="876" w:type="dxa"/>
            <w:tcBorders>
              <w:top w:val="nil"/>
              <w:left w:val="nil"/>
              <w:bottom w:val="nil"/>
              <w:right w:val="nil"/>
            </w:tcBorders>
            <w:shd w:val="clear" w:color="auto" w:fill="auto"/>
            <w:noWrap/>
            <w:vAlign w:val="center"/>
          </w:tcPr>
          <w:p w14:paraId="74AC3D88" w14:textId="216F54DD" w:rsidR="00D00416" w:rsidRPr="00082E69" w:rsidRDefault="00D00416" w:rsidP="00082E69">
            <w:pPr>
              <w:widowControl w:val="0"/>
              <w:jc w:val="center"/>
              <w:rPr>
                <w:color w:val="auto"/>
              </w:rPr>
            </w:pPr>
            <w:r w:rsidRPr="00082E69">
              <w:rPr>
                <w:color w:val="auto"/>
              </w:rPr>
              <w:t>0,00</w:t>
            </w:r>
            <w:r w:rsidR="00082E69" w:rsidRPr="00082E69">
              <w:rPr>
                <w:color w:val="auto"/>
              </w:rPr>
              <w:t>3</w:t>
            </w:r>
          </w:p>
        </w:tc>
        <w:tc>
          <w:tcPr>
            <w:tcW w:w="1013" w:type="dxa"/>
            <w:tcBorders>
              <w:top w:val="nil"/>
              <w:left w:val="nil"/>
              <w:bottom w:val="nil"/>
              <w:right w:val="single" w:sz="4" w:space="0" w:color="auto"/>
            </w:tcBorders>
            <w:shd w:val="clear" w:color="auto" w:fill="auto"/>
            <w:noWrap/>
            <w:vAlign w:val="center"/>
          </w:tcPr>
          <w:p w14:paraId="0EC16DC4" w14:textId="6658BEF7" w:rsidR="00D00416" w:rsidRPr="00082E69" w:rsidRDefault="00D00416" w:rsidP="00082E69">
            <w:pPr>
              <w:widowControl w:val="0"/>
              <w:jc w:val="center"/>
              <w:rPr>
                <w:color w:val="auto"/>
              </w:rPr>
            </w:pPr>
            <w:r w:rsidRPr="00082E69">
              <w:rPr>
                <w:color w:val="auto"/>
              </w:rPr>
              <w:t>0,00</w:t>
            </w:r>
            <w:r w:rsidR="00082E69" w:rsidRPr="00082E69">
              <w:rPr>
                <w:color w:val="auto"/>
              </w:rPr>
              <w:t>8</w:t>
            </w:r>
          </w:p>
        </w:tc>
      </w:tr>
      <w:tr w:rsidR="00D00416" w:rsidRPr="00D66167" w14:paraId="7E312E50" w14:textId="77777777" w:rsidTr="00D00416">
        <w:trPr>
          <w:trHeight w:val="315"/>
          <w:jc w:val="center"/>
        </w:trPr>
        <w:tc>
          <w:tcPr>
            <w:tcW w:w="2972" w:type="dxa"/>
            <w:tcBorders>
              <w:top w:val="nil"/>
              <w:left w:val="single" w:sz="4" w:space="0" w:color="auto"/>
              <w:bottom w:val="nil"/>
              <w:right w:val="nil"/>
            </w:tcBorders>
            <w:shd w:val="clear" w:color="auto" w:fill="B4C6E7" w:themeFill="accent1" w:themeFillTint="66"/>
            <w:noWrap/>
            <w:vAlign w:val="center"/>
          </w:tcPr>
          <w:p w14:paraId="6DA40D31" w14:textId="77777777" w:rsidR="00D00416" w:rsidRPr="00D00416" w:rsidRDefault="00D00416" w:rsidP="00D00416">
            <w:pPr>
              <w:widowControl w:val="0"/>
              <w:jc w:val="right"/>
              <w:rPr>
                <w:color w:val="auto"/>
              </w:rPr>
            </w:pPr>
            <w:r w:rsidRPr="00D00416">
              <w:rPr>
                <w:color w:val="auto"/>
              </w:rPr>
              <w:t>lokality s dopravní zátěží</w:t>
            </w:r>
          </w:p>
        </w:tc>
        <w:tc>
          <w:tcPr>
            <w:tcW w:w="746" w:type="dxa"/>
            <w:tcBorders>
              <w:top w:val="nil"/>
              <w:left w:val="single" w:sz="4" w:space="0" w:color="auto"/>
              <w:bottom w:val="nil"/>
              <w:right w:val="nil"/>
            </w:tcBorders>
            <w:shd w:val="clear" w:color="auto" w:fill="auto"/>
            <w:noWrap/>
            <w:vAlign w:val="center"/>
          </w:tcPr>
          <w:p w14:paraId="499B065D" w14:textId="77777777" w:rsidR="00D00416" w:rsidRPr="007E597D" w:rsidRDefault="00D00416" w:rsidP="00D00416">
            <w:pPr>
              <w:widowControl w:val="0"/>
              <w:jc w:val="center"/>
              <w:rPr>
                <w:color w:val="auto"/>
              </w:rPr>
            </w:pPr>
            <w:r w:rsidRPr="007E597D">
              <w:rPr>
                <w:color w:val="auto"/>
              </w:rPr>
              <w:t>0,12</w:t>
            </w:r>
          </w:p>
        </w:tc>
        <w:tc>
          <w:tcPr>
            <w:tcW w:w="1097" w:type="dxa"/>
            <w:tcBorders>
              <w:top w:val="nil"/>
              <w:left w:val="nil"/>
              <w:bottom w:val="nil"/>
              <w:right w:val="nil"/>
            </w:tcBorders>
            <w:shd w:val="clear" w:color="auto" w:fill="auto"/>
            <w:noWrap/>
            <w:vAlign w:val="center"/>
          </w:tcPr>
          <w:p w14:paraId="5B4FF779" w14:textId="7D3691BD" w:rsidR="00D00416" w:rsidRPr="007E597D" w:rsidRDefault="00D00416" w:rsidP="007E597D">
            <w:pPr>
              <w:widowControl w:val="0"/>
              <w:jc w:val="center"/>
              <w:rPr>
                <w:color w:val="auto"/>
              </w:rPr>
            </w:pPr>
            <w:r w:rsidRPr="007E597D">
              <w:rPr>
                <w:color w:val="auto"/>
              </w:rPr>
              <w:t>0,</w:t>
            </w:r>
            <w:r w:rsidR="007E597D" w:rsidRPr="007E597D">
              <w:rPr>
                <w:color w:val="auto"/>
              </w:rPr>
              <w:t>30</w:t>
            </w:r>
          </w:p>
        </w:tc>
        <w:tc>
          <w:tcPr>
            <w:tcW w:w="1039" w:type="dxa"/>
            <w:tcBorders>
              <w:top w:val="nil"/>
              <w:left w:val="single" w:sz="4" w:space="0" w:color="auto"/>
              <w:bottom w:val="nil"/>
              <w:right w:val="nil"/>
            </w:tcBorders>
            <w:shd w:val="clear" w:color="auto" w:fill="auto"/>
            <w:noWrap/>
            <w:vAlign w:val="center"/>
          </w:tcPr>
          <w:p w14:paraId="25D5C70F" w14:textId="77777777" w:rsidR="00D00416" w:rsidRPr="00A76EBC" w:rsidRDefault="00D00416" w:rsidP="00D00416">
            <w:pPr>
              <w:widowControl w:val="0"/>
              <w:jc w:val="center"/>
              <w:rPr>
                <w:color w:val="auto"/>
              </w:rPr>
            </w:pPr>
            <w:r w:rsidRPr="00A76EBC">
              <w:rPr>
                <w:color w:val="auto"/>
              </w:rPr>
              <w:t>5,88E-08</w:t>
            </w:r>
          </w:p>
        </w:tc>
        <w:tc>
          <w:tcPr>
            <w:tcW w:w="1371" w:type="dxa"/>
            <w:tcBorders>
              <w:top w:val="nil"/>
              <w:left w:val="nil"/>
              <w:bottom w:val="nil"/>
              <w:right w:val="single" w:sz="4" w:space="0" w:color="auto"/>
            </w:tcBorders>
            <w:shd w:val="clear" w:color="auto" w:fill="auto"/>
            <w:noWrap/>
            <w:vAlign w:val="center"/>
          </w:tcPr>
          <w:p w14:paraId="154245B8" w14:textId="4861974A" w:rsidR="00D00416" w:rsidRPr="00A76EBC" w:rsidRDefault="00D00416" w:rsidP="00A76EBC">
            <w:pPr>
              <w:widowControl w:val="0"/>
              <w:jc w:val="center"/>
              <w:rPr>
                <w:color w:val="auto"/>
              </w:rPr>
            </w:pPr>
            <w:r w:rsidRPr="00A76EBC">
              <w:rPr>
                <w:color w:val="auto"/>
              </w:rPr>
              <w:t>1,</w:t>
            </w:r>
            <w:r w:rsidR="00A76EBC" w:rsidRPr="00A76EBC">
              <w:rPr>
                <w:color w:val="auto"/>
              </w:rPr>
              <w:t>47</w:t>
            </w:r>
            <w:r w:rsidRPr="00A76EBC">
              <w:rPr>
                <w:color w:val="auto"/>
              </w:rPr>
              <w:t>E-07</w:t>
            </w:r>
          </w:p>
        </w:tc>
        <w:tc>
          <w:tcPr>
            <w:tcW w:w="876" w:type="dxa"/>
            <w:tcBorders>
              <w:top w:val="nil"/>
              <w:left w:val="nil"/>
              <w:bottom w:val="nil"/>
              <w:right w:val="nil"/>
            </w:tcBorders>
            <w:shd w:val="clear" w:color="auto" w:fill="auto"/>
            <w:noWrap/>
            <w:vAlign w:val="center"/>
          </w:tcPr>
          <w:p w14:paraId="2A797152" w14:textId="0845A415" w:rsidR="00D00416" w:rsidRPr="00082E69" w:rsidRDefault="00D00416" w:rsidP="00082E69">
            <w:pPr>
              <w:widowControl w:val="0"/>
              <w:jc w:val="center"/>
              <w:rPr>
                <w:color w:val="auto"/>
              </w:rPr>
            </w:pPr>
            <w:r w:rsidRPr="00082E69">
              <w:rPr>
                <w:color w:val="auto"/>
              </w:rPr>
              <w:t>0,00</w:t>
            </w:r>
            <w:r w:rsidR="00082E69" w:rsidRPr="00082E69">
              <w:rPr>
                <w:color w:val="auto"/>
              </w:rPr>
              <w:t>4</w:t>
            </w:r>
          </w:p>
        </w:tc>
        <w:tc>
          <w:tcPr>
            <w:tcW w:w="1013" w:type="dxa"/>
            <w:tcBorders>
              <w:top w:val="nil"/>
              <w:left w:val="nil"/>
              <w:bottom w:val="nil"/>
              <w:right w:val="single" w:sz="4" w:space="0" w:color="auto"/>
            </w:tcBorders>
            <w:shd w:val="clear" w:color="auto" w:fill="auto"/>
            <w:noWrap/>
            <w:vAlign w:val="center"/>
          </w:tcPr>
          <w:p w14:paraId="0FFD2997" w14:textId="730E3925" w:rsidR="00D00416" w:rsidRPr="00082E69" w:rsidRDefault="00D00416" w:rsidP="00082E69">
            <w:pPr>
              <w:widowControl w:val="0"/>
              <w:jc w:val="center"/>
              <w:rPr>
                <w:color w:val="auto"/>
              </w:rPr>
            </w:pPr>
            <w:r w:rsidRPr="00082E69">
              <w:rPr>
                <w:color w:val="auto"/>
              </w:rPr>
              <w:t>0,0</w:t>
            </w:r>
            <w:r w:rsidR="00082E69" w:rsidRPr="00082E69">
              <w:rPr>
                <w:color w:val="auto"/>
              </w:rPr>
              <w:t>11</w:t>
            </w:r>
          </w:p>
        </w:tc>
      </w:tr>
      <w:tr w:rsidR="00D00416" w:rsidRPr="00D66167" w14:paraId="0AA956C2" w14:textId="77777777" w:rsidTr="00D00416">
        <w:trPr>
          <w:trHeight w:val="315"/>
          <w:jc w:val="center"/>
        </w:trPr>
        <w:tc>
          <w:tcPr>
            <w:tcW w:w="2972" w:type="dxa"/>
            <w:tcBorders>
              <w:top w:val="nil"/>
              <w:left w:val="single" w:sz="4" w:space="0" w:color="auto"/>
              <w:bottom w:val="single" w:sz="4" w:space="0" w:color="auto"/>
              <w:right w:val="nil"/>
            </w:tcBorders>
            <w:shd w:val="clear" w:color="auto" w:fill="B4C6E7" w:themeFill="accent1" w:themeFillTint="66"/>
            <w:noWrap/>
            <w:vAlign w:val="center"/>
          </w:tcPr>
          <w:p w14:paraId="3FCAB690" w14:textId="77777777" w:rsidR="00D00416" w:rsidRPr="00D00416" w:rsidRDefault="00D00416" w:rsidP="00D00416">
            <w:pPr>
              <w:jc w:val="right"/>
              <w:rPr>
                <w:color w:val="auto"/>
              </w:rPr>
            </w:pPr>
            <w:r w:rsidRPr="00D00416">
              <w:rPr>
                <w:color w:val="auto"/>
              </w:rPr>
              <w:t>průmyslové lokality</w:t>
            </w:r>
          </w:p>
        </w:tc>
        <w:tc>
          <w:tcPr>
            <w:tcW w:w="746" w:type="dxa"/>
            <w:tcBorders>
              <w:top w:val="nil"/>
              <w:left w:val="single" w:sz="4" w:space="0" w:color="auto"/>
              <w:bottom w:val="single" w:sz="4" w:space="0" w:color="auto"/>
              <w:right w:val="nil"/>
            </w:tcBorders>
            <w:shd w:val="clear" w:color="auto" w:fill="auto"/>
            <w:noWrap/>
            <w:vAlign w:val="center"/>
          </w:tcPr>
          <w:p w14:paraId="5ECA83C2" w14:textId="6E2A5645" w:rsidR="00D00416" w:rsidRPr="007E597D" w:rsidRDefault="00D00416" w:rsidP="007E597D">
            <w:pPr>
              <w:jc w:val="center"/>
              <w:rPr>
                <w:color w:val="auto"/>
              </w:rPr>
            </w:pPr>
            <w:r w:rsidRPr="007E597D">
              <w:rPr>
                <w:color w:val="auto"/>
              </w:rPr>
              <w:t>0,</w:t>
            </w:r>
            <w:r w:rsidR="007E597D" w:rsidRPr="007E597D">
              <w:rPr>
                <w:color w:val="auto"/>
              </w:rPr>
              <w:t>12</w:t>
            </w:r>
          </w:p>
        </w:tc>
        <w:tc>
          <w:tcPr>
            <w:tcW w:w="1097" w:type="dxa"/>
            <w:tcBorders>
              <w:top w:val="nil"/>
              <w:left w:val="nil"/>
              <w:bottom w:val="single" w:sz="4" w:space="0" w:color="auto"/>
              <w:right w:val="nil"/>
            </w:tcBorders>
            <w:shd w:val="clear" w:color="auto" w:fill="auto"/>
            <w:noWrap/>
            <w:vAlign w:val="center"/>
          </w:tcPr>
          <w:p w14:paraId="1A2D9454" w14:textId="78B2237F" w:rsidR="00D00416" w:rsidRPr="007E597D" w:rsidRDefault="007E597D" w:rsidP="007E597D">
            <w:pPr>
              <w:jc w:val="center"/>
              <w:rPr>
                <w:color w:val="auto"/>
              </w:rPr>
            </w:pPr>
            <w:r w:rsidRPr="007E597D">
              <w:rPr>
                <w:color w:val="auto"/>
              </w:rPr>
              <w:t>2</w:t>
            </w:r>
            <w:r w:rsidR="00D00416" w:rsidRPr="007E597D">
              <w:rPr>
                <w:color w:val="auto"/>
              </w:rPr>
              <w:t>,</w:t>
            </w:r>
            <w:r w:rsidRPr="007E597D">
              <w:rPr>
                <w:color w:val="auto"/>
              </w:rPr>
              <w:t>21</w:t>
            </w:r>
          </w:p>
        </w:tc>
        <w:tc>
          <w:tcPr>
            <w:tcW w:w="1039" w:type="dxa"/>
            <w:tcBorders>
              <w:top w:val="nil"/>
              <w:left w:val="single" w:sz="4" w:space="0" w:color="auto"/>
              <w:bottom w:val="single" w:sz="4" w:space="0" w:color="auto"/>
              <w:right w:val="nil"/>
            </w:tcBorders>
            <w:shd w:val="clear" w:color="auto" w:fill="auto"/>
            <w:noWrap/>
            <w:vAlign w:val="center"/>
          </w:tcPr>
          <w:p w14:paraId="61A00EBD" w14:textId="7FB41445" w:rsidR="00D00416" w:rsidRPr="00A76EBC" w:rsidRDefault="00A76EBC" w:rsidP="00A76EBC">
            <w:pPr>
              <w:jc w:val="center"/>
              <w:rPr>
                <w:color w:val="auto"/>
              </w:rPr>
            </w:pPr>
            <w:r w:rsidRPr="00A76EBC">
              <w:rPr>
                <w:color w:val="auto"/>
              </w:rPr>
              <w:t>5</w:t>
            </w:r>
            <w:r w:rsidR="00D00416" w:rsidRPr="00A76EBC">
              <w:rPr>
                <w:color w:val="auto"/>
              </w:rPr>
              <w:t>,</w:t>
            </w:r>
            <w:r w:rsidRPr="00A76EBC">
              <w:rPr>
                <w:color w:val="auto"/>
              </w:rPr>
              <w:t>88</w:t>
            </w:r>
            <w:r w:rsidR="00D00416" w:rsidRPr="00A76EBC">
              <w:rPr>
                <w:color w:val="auto"/>
              </w:rPr>
              <w:t>E-08</w:t>
            </w:r>
          </w:p>
        </w:tc>
        <w:tc>
          <w:tcPr>
            <w:tcW w:w="1371" w:type="dxa"/>
            <w:tcBorders>
              <w:top w:val="nil"/>
              <w:left w:val="nil"/>
              <w:bottom w:val="single" w:sz="4" w:space="0" w:color="auto"/>
              <w:right w:val="single" w:sz="4" w:space="0" w:color="auto"/>
            </w:tcBorders>
            <w:shd w:val="clear" w:color="auto" w:fill="auto"/>
            <w:noWrap/>
            <w:vAlign w:val="center"/>
          </w:tcPr>
          <w:p w14:paraId="546259A7" w14:textId="6EA54BB3" w:rsidR="00D00416" w:rsidRPr="00A76EBC" w:rsidRDefault="00A76EBC" w:rsidP="00A76EBC">
            <w:pPr>
              <w:jc w:val="center"/>
              <w:rPr>
                <w:color w:val="auto"/>
              </w:rPr>
            </w:pPr>
            <w:r w:rsidRPr="00A76EBC">
              <w:rPr>
                <w:color w:val="auto"/>
              </w:rPr>
              <w:t>1</w:t>
            </w:r>
            <w:r w:rsidR="00D00416" w:rsidRPr="00A76EBC">
              <w:rPr>
                <w:color w:val="auto"/>
              </w:rPr>
              <w:t>,</w:t>
            </w:r>
            <w:r w:rsidRPr="00A76EBC">
              <w:rPr>
                <w:color w:val="auto"/>
              </w:rPr>
              <w:t>08</w:t>
            </w:r>
            <w:r w:rsidR="00D00416" w:rsidRPr="00A76EBC">
              <w:rPr>
                <w:color w:val="auto"/>
              </w:rPr>
              <w:t>E-0</w:t>
            </w:r>
            <w:r w:rsidRPr="00A76EBC">
              <w:rPr>
                <w:color w:val="auto"/>
              </w:rPr>
              <w:t>6</w:t>
            </w:r>
          </w:p>
        </w:tc>
        <w:tc>
          <w:tcPr>
            <w:tcW w:w="876" w:type="dxa"/>
            <w:tcBorders>
              <w:top w:val="nil"/>
              <w:left w:val="nil"/>
              <w:bottom w:val="single" w:sz="4" w:space="0" w:color="auto"/>
              <w:right w:val="nil"/>
            </w:tcBorders>
            <w:shd w:val="clear" w:color="auto" w:fill="auto"/>
            <w:noWrap/>
            <w:vAlign w:val="center"/>
          </w:tcPr>
          <w:p w14:paraId="5C163235" w14:textId="0ABEB9FE" w:rsidR="00D00416" w:rsidRPr="00082E69" w:rsidRDefault="00D00416" w:rsidP="00082E69">
            <w:pPr>
              <w:jc w:val="center"/>
              <w:rPr>
                <w:color w:val="auto"/>
              </w:rPr>
            </w:pPr>
            <w:r w:rsidRPr="00082E69">
              <w:rPr>
                <w:color w:val="auto"/>
              </w:rPr>
              <w:t>0,00</w:t>
            </w:r>
            <w:r w:rsidR="00082E69" w:rsidRPr="00082E69">
              <w:rPr>
                <w:color w:val="auto"/>
              </w:rPr>
              <w:t>4</w:t>
            </w:r>
          </w:p>
        </w:tc>
        <w:tc>
          <w:tcPr>
            <w:tcW w:w="1013" w:type="dxa"/>
            <w:tcBorders>
              <w:top w:val="nil"/>
              <w:left w:val="nil"/>
              <w:bottom w:val="single" w:sz="4" w:space="0" w:color="auto"/>
              <w:right w:val="single" w:sz="4" w:space="0" w:color="auto"/>
            </w:tcBorders>
            <w:shd w:val="clear" w:color="auto" w:fill="auto"/>
            <w:noWrap/>
            <w:vAlign w:val="center"/>
          </w:tcPr>
          <w:p w14:paraId="5A911396" w14:textId="0A8D40A0" w:rsidR="00D00416" w:rsidRPr="00082E69" w:rsidRDefault="00D00416" w:rsidP="00082E69">
            <w:pPr>
              <w:jc w:val="center"/>
              <w:rPr>
                <w:color w:val="auto"/>
              </w:rPr>
            </w:pPr>
            <w:r w:rsidRPr="00082E69">
              <w:rPr>
                <w:color w:val="auto"/>
              </w:rPr>
              <w:t>0,0</w:t>
            </w:r>
            <w:r w:rsidR="00082E69" w:rsidRPr="00082E69">
              <w:rPr>
                <w:color w:val="auto"/>
              </w:rPr>
              <w:t>81</w:t>
            </w:r>
          </w:p>
        </w:tc>
      </w:tr>
    </w:tbl>
    <w:p w14:paraId="03C1C8E1" w14:textId="1338BDD6" w:rsidR="00D00416" w:rsidRPr="00D00416" w:rsidRDefault="00D00416" w:rsidP="00D00416">
      <w:pPr>
        <w:widowControl w:val="0"/>
        <w:spacing w:before="120"/>
        <w:jc w:val="both"/>
        <w:rPr>
          <w:color w:val="auto"/>
          <w:sz w:val="22"/>
          <w:szCs w:val="22"/>
        </w:rPr>
      </w:pPr>
      <w:r w:rsidRPr="00D00416">
        <w:rPr>
          <w:color w:val="auto"/>
          <w:sz w:val="22"/>
          <w:szCs w:val="22"/>
        </w:rPr>
        <w:t xml:space="preserve">Tabulka č. </w:t>
      </w:r>
      <w:r w:rsidRPr="00D00416">
        <w:rPr>
          <w:color w:val="auto"/>
          <w:sz w:val="22"/>
          <w:szCs w:val="22"/>
        </w:rPr>
        <w:fldChar w:fldCharType="begin"/>
      </w:r>
      <w:r w:rsidRPr="00D00416">
        <w:rPr>
          <w:color w:val="auto"/>
          <w:sz w:val="22"/>
          <w:szCs w:val="22"/>
        </w:rPr>
        <w:instrText xml:space="preserve"> SEQ Tabulka_č._ \* ARABIC </w:instrText>
      </w:r>
      <w:r w:rsidRPr="00D00416">
        <w:rPr>
          <w:color w:val="auto"/>
          <w:sz w:val="22"/>
          <w:szCs w:val="22"/>
        </w:rPr>
        <w:fldChar w:fldCharType="separate"/>
      </w:r>
      <w:r w:rsidR="00D30EF9">
        <w:rPr>
          <w:noProof/>
          <w:color w:val="auto"/>
          <w:sz w:val="22"/>
          <w:szCs w:val="22"/>
        </w:rPr>
        <w:t>10</w:t>
      </w:r>
      <w:r w:rsidRPr="00D00416">
        <w:rPr>
          <w:color w:val="auto"/>
          <w:sz w:val="22"/>
          <w:szCs w:val="22"/>
        </w:rPr>
        <w:fldChar w:fldCharType="end"/>
      </w:r>
      <w:r w:rsidRPr="00D00416">
        <w:rPr>
          <w:color w:val="auto"/>
          <w:sz w:val="22"/>
          <w:szCs w:val="22"/>
        </w:rPr>
        <w:t>. 2022 – roční průměry a hodnoty individuálního a populačního rizika</w:t>
      </w:r>
    </w:p>
    <w:p w14:paraId="6CB54711" w14:textId="77777777" w:rsidR="00D00416" w:rsidRDefault="00D00416" w:rsidP="00D00416">
      <w:pPr>
        <w:jc w:val="both"/>
        <w:rPr>
          <w:i/>
          <w:color w:val="auto"/>
        </w:rPr>
      </w:pPr>
      <w:r>
        <w:rPr>
          <w:noProof/>
          <w:color w:val="FF0000"/>
          <w:sz w:val="22"/>
          <w:szCs w:val="22"/>
          <w:lang w:eastAsia="cs-CZ"/>
        </w:rPr>
        <w:drawing>
          <wp:anchor distT="0" distB="0" distL="114300" distR="114300" simplePos="0" relativeHeight="251687936" behindDoc="0" locked="0" layoutInCell="1" allowOverlap="0" wp14:anchorId="7151EEBD" wp14:editId="480726FD">
            <wp:simplePos x="0" y="0"/>
            <wp:positionH relativeFrom="column">
              <wp:posOffset>137160</wp:posOffset>
            </wp:positionH>
            <wp:positionV relativeFrom="page">
              <wp:posOffset>6638925</wp:posOffset>
            </wp:positionV>
            <wp:extent cx="5760000" cy="2181600"/>
            <wp:effectExtent l="0" t="0" r="0" b="9525"/>
            <wp:wrapTopAndBottom/>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0" cy="218160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Pr="00D00416">
        <w:rPr>
          <w:i/>
          <w:color w:val="auto"/>
        </w:rPr>
        <w:t>Pozn</w:t>
      </w:r>
      <w:proofErr w:type="spellEnd"/>
      <w:r w:rsidRPr="00D00416">
        <w:rPr>
          <w:i/>
          <w:color w:val="auto"/>
        </w:rPr>
        <w:t xml:space="preserve">: Maximální hodnota v ČR byla naměřena na stanici LTAS (Tanvald) – 2,21 </w:t>
      </w:r>
      <w:proofErr w:type="spellStart"/>
      <w:r w:rsidRPr="00D00416">
        <w:rPr>
          <w:i/>
          <w:color w:val="auto"/>
        </w:rPr>
        <w:t>ng</w:t>
      </w:r>
      <w:proofErr w:type="spellEnd"/>
      <w:r w:rsidRPr="00D00416">
        <w:rPr>
          <w:i/>
          <w:color w:val="auto"/>
        </w:rPr>
        <w:t>/m</w:t>
      </w:r>
      <w:r w:rsidRPr="00D00416">
        <w:rPr>
          <w:i/>
          <w:color w:val="auto"/>
          <w:vertAlign w:val="superscript"/>
        </w:rPr>
        <w:t>3</w:t>
      </w:r>
      <w:r w:rsidRPr="00D00416">
        <w:rPr>
          <w:i/>
          <w:color w:val="auto"/>
        </w:rPr>
        <w:t>/rok.</w:t>
      </w:r>
      <w:r>
        <w:rPr>
          <w:i/>
          <w:color w:val="auto"/>
        </w:rPr>
        <w:t xml:space="preserve"> Hodnota reprezentuje starou zátěž.</w:t>
      </w:r>
    </w:p>
    <w:p w14:paraId="12DAECFD" w14:textId="3B454D5A" w:rsidR="00D00416" w:rsidRPr="00D00416" w:rsidRDefault="00D00416" w:rsidP="00D00416">
      <w:pPr>
        <w:jc w:val="both"/>
        <w:rPr>
          <w:color w:val="auto"/>
          <w:sz w:val="22"/>
          <w:szCs w:val="22"/>
        </w:rPr>
      </w:pPr>
      <w:r w:rsidRPr="00D00416">
        <w:rPr>
          <w:color w:val="auto"/>
          <w:sz w:val="22"/>
          <w:szCs w:val="22"/>
        </w:rPr>
        <w:t>Graf č. 6. Rozpětí teoretického odhadu pravděpodobnosti zvýšení počtu nádorových onemocnění z příjmu Cd z venkovního ovzduší v roce 2022 v ČR a pro jednotlivé typy městských lokalit</w:t>
      </w:r>
    </w:p>
    <w:p w14:paraId="2DE7A1E5" w14:textId="5BE74BE7" w:rsidR="00D00416" w:rsidRPr="00993846" w:rsidRDefault="00D00416" w:rsidP="00D00416">
      <w:pPr>
        <w:pStyle w:val="DefaultText1"/>
        <w:spacing w:before="120" w:line="276" w:lineRule="auto"/>
        <w:jc w:val="both"/>
        <w:rPr>
          <w:rFonts w:ascii="Mulish" w:hAnsi="Mulish"/>
          <w:bCs/>
          <w:sz w:val="22"/>
          <w:szCs w:val="22"/>
        </w:rPr>
      </w:pPr>
      <w:r w:rsidRPr="00993846">
        <w:rPr>
          <w:rFonts w:ascii="Mulish" w:hAnsi="Mulish"/>
          <w:bCs/>
          <w:sz w:val="22"/>
          <w:szCs w:val="22"/>
        </w:rPr>
        <w:lastRenderedPageBreak/>
        <w:t xml:space="preserve">Roční střední hodnota z pozaďových stanic byla &lt; 0,06 </w:t>
      </w:r>
      <w:proofErr w:type="spellStart"/>
      <w:r w:rsidRPr="00993846">
        <w:rPr>
          <w:rFonts w:ascii="Mulish" w:hAnsi="Mulish"/>
          <w:bCs/>
          <w:sz w:val="22"/>
          <w:szCs w:val="22"/>
        </w:rPr>
        <w:t>ng</w:t>
      </w:r>
      <w:proofErr w:type="spellEnd"/>
      <w:r w:rsidRPr="00993846">
        <w:rPr>
          <w:rFonts w:ascii="Mulish" w:hAnsi="Mulish"/>
          <w:bCs/>
          <w:sz w:val="22"/>
          <w:szCs w:val="22"/>
        </w:rPr>
        <w:t>/m</w:t>
      </w:r>
      <w:r w:rsidRPr="00993846">
        <w:rPr>
          <w:rFonts w:ascii="Mulish" w:hAnsi="Mulish"/>
          <w:bCs/>
          <w:sz w:val="22"/>
          <w:szCs w:val="22"/>
          <w:vertAlign w:val="superscript"/>
        </w:rPr>
        <w:t>3</w:t>
      </w:r>
      <w:r w:rsidRPr="00993846">
        <w:rPr>
          <w:rFonts w:ascii="Mulish" w:hAnsi="Mulish"/>
          <w:bCs/>
          <w:sz w:val="22"/>
          <w:szCs w:val="22"/>
        </w:rPr>
        <w:t xml:space="preserve">, odhad průměrné hodnoty v obydlených městských oblastech je 0,15 </w:t>
      </w:r>
      <w:proofErr w:type="spellStart"/>
      <w:r w:rsidRPr="00993846">
        <w:rPr>
          <w:rFonts w:ascii="Mulish" w:hAnsi="Mulish"/>
          <w:bCs/>
          <w:sz w:val="22"/>
          <w:szCs w:val="22"/>
        </w:rPr>
        <w:t>ng</w:t>
      </w:r>
      <w:proofErr w:type="spellEnd"/>
      <w:r w:rsidRPr="00993846">
        <w:rPr>
          <w:rFonts w:ascii="Mulish" w:hAnsi="Mulish"/>
          <w:bCs/>
          <w:sz w:val="22"/>
          <w:szCs w:val="22"/>
        </w:rPr>
        <w:t>/m</w:t>
      </w:r>
      <w:r w:rsidRPr="00993846">
        <w:rPr>
          <w:rFonts w:ascii="Mulish" w:hAnsi="Mulish"/>
          <w:bCs/>
          <w:sz w:val="22"/>
          <w:szCs w:val="22"/>
          <w:vertAlign w:val="superscript"/>
        </w:rPr>
        <w:t>3</w:t>
      </w:r>
      <w:r w:rsidRPr="00993846">
        <w:rPr>
          <w:rFonts w:ascii="Mulish" w:hAnsi="Mulish"/>
          <w:bCs/>
          <w:sz w:val="22"/>
          <w:szCs w:val="22"/>
        </w:rPr>
        <w:t>. Vyšší hodnoty (</w:t>
      </w:r>
      <w:r w:rsidRPr="00993846">
        <w:rPr>
          <w:rFonts w:ascii="Mulish" w:hAnsi="Mulish"/>
          <w:bCs/>
          <w:sz w:val="22"/>
          <w:szCs w:val="22"/>
          <w:lang w:val="en-GB"/>
        </w:rPr>
        <w:t>&gt; 1 ng/m</w:t>
      </w:r>
      <w:r w:rsidRPr="00993846">
        <w:rPr>
          <w:rFonts w:ascii="Mulish" w:hAnsi="Mulish"/>
          <w:bCs/>
          <w:sz w:val="22"/>
          <w:szCs w:val="22"/>
          <w:vertAlign w:val="superscript"/>
          <w:lang w:val="en-GB"/>
        </w:rPr>
        <w:t>3</w:t>
      </w:r>
      <w:r w:rsidRPr="00993846">
        <w:rPr>
          <w:rFonts w:ascii="Mulish" w:hAnsi="Mulish"/>
          <w:bCs/>
          <w:sz w:val="22"/>
          <w:szCs w:val="22"/>
        </w:rPr>
        <w:t>) byly naměřeny na průmyslových stanicích v Ostravě (TORE) a Tanvaldu (LTAS).</w:t>
      </w:r>
    </w:p>
    <w:p w14:paraId="5D9EEF33" w14:textId="2E8AC1CA" w:rsidR="00D00416" w:rsidRPr="00082E69" w:rsidRDefault="00D00416" w:rsidP="00D00416">
      <w:pPr>
        <w:spacing w:before="120" w:after="120"/>
        <w:jc w:val="both"/>
        <w:rPr>
          <w:b/>
          <w:color w:val="auto"/>
          <w:sz w:val="22"/>
          <w:szCs w:val="22"/>
        </w:rPr>
      </w:pPr>
      <w:r w:rsidRPr="00082E69">
        <w:rPr>
          <w:b/>
          <w:color w:val="auto"/>
          <w:sz w:val="22"/>
          <w:szCs w:val="22"/>
        </w:rPr>
        <w:t>Individuální karcinogenní riziko odhadované na základě potenciální expozice koncentracím kadmia se v městských lokalitách pohybuje ve zdravotně zanedbatelném přijatelném rozmezí od jednoho případu na 10</w:t>
      </w:r>
      <w:r w:rsidR="00082E69" w:rsidRPr="00082E69">
        <w:rPr>
          <w:b/>
          <w:color w:val="auto"/>
          <w:sz w:val="22"/>
          <w:szCs w:val="22"/>
        </w:rPr>
        <w:t>0</w:t>
      </w:r>
      <w:r w:rsidRPr="00082E69">
        <w:rPr>
          <w:b/>
          <w:color w:val="auto"/>
          <w:sz w:val="22"/>
          <w:szCs w:val="22"/>
        </w:rPr>
        <w:t xml:space="preserve"> miliónů do jednoho případu na milión obyvatel za 70 let. Populační riziko spočtené na základě odhadu střední hodnoty v sídlech v roce 202</w:t>
      </w:r>
      <w:r w:rsidR="00082E69" w:rsidRPr="00082E69">
        <w:rPr>
          <w:b/>
          <w:color w:val="auto"/>
          <w:sz w:val="22"/>
          <w:szCs w:val="22"/>
        </w:rPr>
        <w:t>2</w:t>
      </w:r>
      <w:r w:rsidRPr="00082E69">
        <w:rPr>
          <w:b/>
          <w:color w:val="auto"/>
          <w:sz w:val="22"/>
          <w:szCs w:val="22"/>
        </w:rPr>
        <w:t xml:space="preserve"> představuje na deset a půl miliónu obyvatel ČR 0,01 případu za 1 rok.</w:t>
      </w:r>
    </w:p>
    <w:p w14:paraId="6EDB0791" w14:textId="77777777" w:rsidR="0079316B" w:rsidRPr="00D66167" w:rsidRDefault="0079316B" w:rsidP="00C82B83">
      <w:pPr>
        <w:pStyle w:val="DefaultText1"/>
        <w:spacing w:before="120" w:line="276" w:lineRule="auto"/>
        <w:jc w:val="both"/>
        <w:rPr>
          <w:rFonts w:ascii="Mulish" w:hAnsi="Mulish"/>
          <w:bCs/>
          <w:color w:val="FF0000"/>
          <w:sz w:val="22"/>
          <w:szCs w:val="22"/>
        </w:rPr>
      </w:pPr>
    </w:p>
    <w:p w14:paraId="534BAFD0" w14:textId="77777777" w:rsidR="005041D0" w:rsidRDefault="005041D0">
      <w:pPr>
        <w:autoSpaceDE/>
        <w:autoSpaceDN/>
        <w:adjustRightInd/>
        <w:spacing w:after="160" w:line="259" w:lineRule="auto"/>
        <w:textAlignment w:val="auto"/>
        <w:rPr>
          <w:rFonts w:eastAsia="Times New Roman" w:cs="Times New Roman"/>
          <w:b/>
          <w:bCs/>
          <w:color w:val="auto"/>
          <w:sz w:val="24"/>
          <w:szCs w:val="24"/>
          <w:lang w:eastAsia="cs-CZ"/>
        </w:rPr>
      </w:pPr>
      <w:r>
        <w:rPr>
          <w:b/>
          <w:bCs/>
        </w:rPr>
        <w:br w:type="page"/>
      </w:r>
    </w:p>
    <w:p w14:paraId="02C1F49F" w14:textId="768E7C83" w:rsidR="00830024" w:rsidRPr="0079316B" w:rsidRDefault="00830024" w:rsidP="0079316B">
      <w:pPr>
        <w:pStyle w:val="DefaultText1"/>
        <w:jc w:val="center"/>
        <w:rPr>
          <w:rFonts w:ascii="Mulish" w:hAnsi="Mulish"/>
          <w:b/>
          <w:bCs/>
        </w:rPr>
      </w:pPr>
      <w:r w:rsidRPr="0079316B">
        <w:rPr>
          <w:rFonts w:ascii="Mulish" w:hAnsi="Mulish"/>
          <w:b/>
          <w:bCs/>
        </w:rPr>
        <w:lastRenderedPageBreak/>
        <w:t xml:space="preserve">Polycyklické aromatické uhlovodíky (PAU) - </w:t>
      </w:r>
      <w:proofErr w:type="spellStart"/>
      <w:r w:rsidRPr="0079316B">
        <w:rPr>
          <w:rFonts w:ascii="Mulish" w:hAnsi="Mulish"/>
          <w:b/>
          <w:bCs/>
        </w:rPr>
        <w:t>benzo</w:t>
      </w:r>
      <w:proofErr w:type="spellEnd"/>
      <w:r w:rsidRPr="0079316B">
        <w:rPr>
          <w:rFonts w:ascii="Mulish" w:hAnsi="Mulish"/>
          <w:b/>
          <w:bCs/>
        </w:rPr>
        <w:t>[</w:t>
      </w:r>
      <w:r w:rsidRPr="0079316B">
        <w:rPr>
          <w:rFonts w:ascii="Mulish" w:hAnsi="Mulish"/>
          <w:b/>
          <w:bCs/>
          <w:i/>
        </w:rPr>
        <w:t>a</w:t>
      </w:r>
      <w:r w:rsidRPr="0079316B">
        <w:rPr>
          <w:rFonts w:ascii="Mulish" w:hAnsi="Mulish"/>
          <w:b/>
          <w:bCs/>
        </w:rPr>
        <w:t>]pyren (BaP)</w:t>
      </w:r>
    </w:p>
    <w:p w14:paraId="4975D2DB" w14:textId="1E983EC1" w:rsidR="00830024" w:rsidRDefault="00830024" w:rsidP="00D42594">
      <w:pPr>
        <w:pStyle w:val="DefaultText1"/>
        <w:widowControl w:val="0"/>
        <w:spacing w:before="120" w:line="276" w:lineRule="auto"/>
        <w:jc w:val="both"/>
        <w:rPr>
          <w:rFonts w:ascii="Mulish" w:hAnsi="Mulish"/>
          <w:bCs/>
          <w:noProof/>
          <w:sz w:val="22"/>
          <w:szCs w:val="22"/>
        </w:rPr>
      </w:pPr>
      <w:r w:rsidRPr="0079316B">
        <w:rPr>
          <w:rFonts w:ascii="Mulish" w:hAnsi="Mulish"/>
          <w:sz w:val="22"/>
          <w:szCs w:val="22"/>
        </w:rPr>
        <w:t xml:space="preserve">PAU </w:t>
      </w:r>
      <w:r w:rsidRPr="0079316B">
        <w:rPr>
          <w:rFonts w:ascii="Mulish" w:hAnsi="Mulish"/>
          <w:bCs/>
          <w:noProof/>
          <w:sz w:val="22"/>
          <w:szCs w:val="22"/>
        </w:rPr>
        <w:t xml:space="preserve">mají schopnost přetrvávat v prostředí, kumulují se v jeho složkách a v živých organismech, jsou lipofilní a řada z nich má toxické, mutagenní či karcinogenní vlastnosti. Patří mezi endokrinní disruptory, ovlivňují porodní váhu a růst plodu. Působí imunosupresivně, snížením hladin IgG </w:t>
      </w:r>
      <w:r w:rsidR="00F37CA6">
        <w:rPr>
          <w:rFonts w:ascii="Mulish" w:hAnsi="Mulish"/>
          <w:bCs/>
          <w:noProof/>
          <w:sz w:val="22"/>
          <w:szCs w:val="22"/>
        </w:rPr>
        <w:br/>
      </w:r>
      <w:r w:rsidRPr="0079316B">
        <w:rPr>
          <w:rFonts w:ascii="Mulish" w:hAnsi="Mulish"/>
          <w:bCs/>
          <w:noProof/>
          <w:sz w:val="22"/>
          <w:szCs w:val="22"/>
        </w:rPr>
        <w:t xml:space="preserve">a IgA. Ve vysokých koncentracích (převyšujících koncentrace nejen ve venkovním ovzduší, ale </w:t>
      </w:r>
      <w:r w:rsidR="00F37CA6">
        <w:rPr>
          <w:rFonts w:ascii="Mulish" w:hAnsi="Mulish"/>
          <w:bCs/>
          <w:noProof/>
          <w:sz w:val="22"/>
          <w:szCs w:val="22"/>
        </w:rPr>
        <w:br/>
      </w:r>
      <w:r w:rsidRPr="0079316B">
        <w:rPr>
          <w:rFonts w:ascii="Mulish" w:hAnsi="Mulish"/>
          <w:bCs/>
          <w:noProof/>
          <w:sz w:val="22"/>
          <w:szCs w:val="22"/>
        </w:rPr>
        <w:t>i v pracovním prostředí) mohou mít dráždivé účinky. PAU patří mezi nepřímo působící genotoxické sloučeniny. Vlivem biotransformačního systému organismu vznikají postupně metabolity s karcinogenním a mutagenním účinkem. Elektrofilní metabolity kovalentně vázané na DNA představují poté základ karcinogenního potenciálu PAU. V praxi je nejvíce používaným zástupcem PAU při posuzování karcinogenity benzo[</w:t>
      </w:r>
      <w:r w:rsidRPr="0079316B">
        <w:rPr>
          <w:rFonts w:ascii="Mulish" w:hAnsi="Mulish"/>
          <w:bCs/>
          <w:i/>
          <w:noProof/>
          <w:sz w:val="22"/>
          <w:szCs w:val="22"/>
        </w:rPr>
        <w:t>a</w:t>
      </w:r>
      <w:r w:rsidRPr="0079316B">
        <w:rPr>
          <w:rFonts w:ascii="Mulish" w:hAnsi="Mulish"/>
          <w:bCs/>
          <w:noProof/>
          <w:sz w:val="22"/>
          <w:szCs w:val="22"/>
        </w:rPr>
        <w:t>]pyren (BaP). BaP je z hlediska klasifikace karcinogenity od roku 2010 zařazen IARC do skupiny 1 – prokázaný karcinogen. Hodnota jednotkového rizika převzatá od Světové zdravotnické organizace je pro BaP 8,7 × 10</w:t>
      </w:r>
      <w:r w:rsidRPr="0079316B">
        <w:rPr>
          <w:rFonts w:ascii="Mulish" w:hAnsi="Mulish"/>
          <w:bCs/>
          <w:noProof/>
          <w:sz w:val="22"/>
          <w:szCs w:val="22"/>
          <w:vertAlign w:val="superscript"/>
        </w:rPr>
        <w:t>-2</w:t>
      </w:r>
      <w:r w:rsidRPr="0079316B">
        <w:rPr>
          <w:rFonts w:ascii="Mulish" w:hAnsi="Mulish"/>
          <w:bCs/>
          <w:noProof/>
          <w:sz w:val="22"/>
          <w:szCs w:val="22"/>
        </w:rPr>
        <w:t>.</w:t>
      </w:r>
    </w:p>
    <w:p w14:paraId="4ACC8D58" w14:textId="03B2AF2D" w:rsidR="00D42594" w:rsidRPr="00D42594" w:rsidRDefault="00D42594" w:rsidP="00D42594">
      <w:pPr>
        <w:widowControl w:val="0"/>
        <w:spacing w:before="120" w:line="276" w:lineRule="auto"/>
        <w:jc w:val="both"/>
        <w:rPr>
          <w:color w:val="auto"/>
          <w:sz w:val="22"/>
          <w:szCs w:val="22"/>
        </w:rPr>
      </w:pPr>
      <w:r w:rsidRPr="00D42594">
        <w:rPr>
          <w:color w:val="auto"/>
          <w:sz w:val="22"/>
          <w:szCs w:val="22"/>
        </w:rPr>
        <w:t xml:space="preserve">Tabulka č. </w:t>
      </w:r>
      <w:r w:rsidRPr="00D42594">
        <w:rPr>
          <w:color w:val="auto"/>
          <w:sz w:val="22"/>
          <w:szCs w:val="22"/>
        </w:rPr>
        <w:fldChar w:fldCharType="begin"/>
      </w:r>
      <w:r w:rsidRPr="00D42594">
        <w:rPr>
          <w:color w:val="auto"/>
          <w:sz w:val="22"/>
          <w:szCs w:val="22"/>
        </w:rPr>
        <w:instrText xml:space="preserve"> SEQ Tabulka_č._ \* ARABIC </w:instrText>
      </w:r>
      <w:r w:rsidRPr="00D42594">
        <w:rPr>
          <w:color w:val="auto"/>
          <w:sz w:val="22"/>
          <w:szCs w:val="22"/>
        </w:rPr>
        <w:fldChar w:fldCharType="separate"/>
      </w:r>
      <w:r w:rsidR="00D30EF9">
        <w:rPr>
          <w:noProof/>
          <w:color w:val="auto"/>
          <w:sz w:val="22"/>
          <w:szCs w:val="22"/>
        </w:rPr>
        <w:t>11</w:t>
      </w:r>
      <w:r w:rsidRPr="00D42594">
        <w:rPr>
          <w:color w:val="auto"/>
          <w:sz w:val="22"/>
          <w:szCs w:val="22"/>
        </w:rPr>
        <w:fldChar w:fldCharType="end"/>
      </w:r>
      <w:r w:rsidRPr="00D42594">
        <w:rPr>
          <w:color w:val="auto"/>
          <w:sz w:val="22"/>
          <w:szCs w:val="22"/>
        </w:rPr>
        <w:t>. – 2022 - roční průměry a hodnoty individuálního a populačního rizika pro BaP (vypočteno pro 10,5 mil. obyvatel ČR a v případě městských lokalit pro 5,2 mil. obyvatel)</w:t>
      </w:r>
    </w:p>
    <w:tbl>
      <w:tblPr>
        <w:tblW w:w="9544" w:type="dxa"/>
        <w:jc w:val="center"/>
        <w:tblCellMar>
          <w:left w:w="70" w:type="dxa"/>
          <w:right w:w="70" w:type="dxa"/>
        </w:tblCellMar>
        <w:tblLook w:val="0000" w:firstRow="0" w:lastRow="0" w:firstColumn="0" w:lastColumn="0" w:noHBand="0" w:noVBand="0"/>
      </w:tblPr>
      <w:tblGrid>
        <w:gridCol w:w="3210"/>
        <w:gridCol w:w="1080"/>
        <w:gridCol w:w="909"/>
        <w:gridCol w:w="1251"/>
        <w:gridCol w:w="1089"/>
        <w:gridCol w:w="1063"/>
        <w:gridCol w:w="942"/>
      </w:tblGrid>
      <w:tr w:rsidR="00D42594" w:rsidRPr="00D66167" w14:paraId="2048CA71" w14:textId="77777777" w:rsidTr="00C569D0">
        <w:trPr>
          <w:trHeight w:val="375"/>
          <w:jc w:val="center"/>
        </w:trPr>
        <w:tc>
          <w:tcPr>
            <w:tcW w:w="3210" w:type="dxa"/>
            <w:tcBorders>
              <w:top w:val="single" w:sz="4" w:space="0" w:color="auto"/>
              <w:left w:val="single" w:sz="4" w:space="0" w:color="auto"/>
              <w:bottom w:val="nil"/>
              <w:right w:val="single" w:sz="4" w:space="0" w:color="auto"/>
            </w:tcBorders>
            <w:shd w:val="clear" w:color="auto" w:fill="B4C6E7" w:themeFill="accent1" w:themeFillTint="66"/>
            <w:noWrap/>
            <w:vAlign w:val="center"/>
          </w:tcPr>
          <w:p w14:paraId="245758B0" w14:textId="77777777" w:rsidR="00D42594" w:rsidRPr="00D42594" w:rsidRDefault="00D42594" w:rsidP="00D42594">
            <w:pPr>
              <w:widowControl w:val="0"/>
              <w:rPr>
                <w:color w:val="auto"/>
                <w:lang w:val="en-US"/>
              </w:rPr>
            </w:pPr>
            <w:r w:rsidRPr="00D42594">
              <w:rPr>
                <w:b/>
                <w:bCs/>
                <w:color w:val="auto"/>
              </w:rPr>
              <w:t>benzo</w:t>
            </w:r>
            <w:r w:rsidRPr="00D42594">
              <w:rPr>
                <w:b/>
                <w:bCs/>
                <w:color w:val="auto"/>
                <w:lang w:val="en-US"/>
              </w:rPr>
              <w:t>[</w:t>
            </w:r>
            <w:r w:rsidRPr="00D42594">
              <w:rPr>
                <w:b/>
                <w:bCs/>
                <w:i/>
                <w:color w:val="auto"/>
                <w:lang w:val="en-US"/>
              </w:rPr>
              <w:t>a</w:t>
            </w:r>
            <w:r w:rsidRPr="00D42594">
              <w:rPr>
                <w:b/>
                <w:bCs/>
                <w:color w:val="auto"/>
                <w:lang w:val="en-US"/>
              </w:rPr>
              <w:t>]</w:t>
            </w:r>
            <w:proofErr w:type="spellStart"/>
            <w:r w:rsidRPr="00D42594">
              <w:rPr>
                <w:b/>
                <w:bCs/>
                <w:color w:val="auto"/>
                <w:lang w:val="en-US"/>
              </w:rPr>
              <w:t>pyren</w:t>
            </w:r>
            <w:proofErr w:type="spellEnd"/>
            <w:r w:rsidRPr="00D42594">
              <w:rPr>
                <w:b/>
                <w:bCs/>
                <w:color w:val="auto"/>
                <w:lang w:val="en-US"/>
              </w:rPr>
              <w:t xml:space="preserve"> (BaP)</w:t>
            </w:r>
          </w:p>
        </w:tc>
        <w:tc>
          <w:tcPr>
            <w:tcW w:w="1989" w:type="dxa"/>
            <w:gridSpan w:val="2"/>
            <w:tcBorders>
              <w:top w:val="single" w:sz="4" w:space="0" w:color="auto"/>
              <w:left w:val="nil"/>
              <w:bottom w:val="nil"/>
              <w:right w:val="single" w:sz="4" w:space="0" w:color="000000"/>
            </w:tcBorders>
            <w:shd w:val="clear" w:color="auto" w:fill="B4C6E7" w:themeFill="accent1" w:themeFillTint="66"/>
            <w:noWrap/>
            <w:vAlign w:val="center"/>
          </w:tcPr>
          <w:p w14:paraId="45F22B1C" w14:textId="77777777" w:rsidR="00D42594" w:rsidRPr="00D42594" w:rsidRDefault="00D42594" w:rsidP="00D42594">
            <w:pPr>
              <w:widowControl w:val="0"/>
              <w:jc w:val="center"/>
              <w:rPr>
                <w:color w:val="auto"/>
              </w:rPr>
            </w:pPr>
            <w:r w:rsidRPr="00D42594">
              <w:rPr>
                <w:color w:val="auto"/>
              </w:rPr>
              <w:t>roční průměry (</w:t>
            </w:r>
            <w:proofErr w:type="spellStart"/>
            <w:r w:rsidRPr="00D42594">
              <w:rPr>
                <w:color w:val="auto"/>
              </w:rPr>
              <w:t>ng</w:t>
            </w:r>
            <w:proofErr w:type="spellEnd"/>
            <w:r w:rsidRPr="00D42594">
              <w:rPr>
                <w:color w:val="auto"/>
              </w:rPr>
              <w:t>/m</w:t>
            </w:r>
            <w:r w:rsidRPr="00D42594">
              <w:rPr>
                <w:color w:val="auto"/>
                <w:vertAlign w:val="superscript"/>
              </w:rPr>
              <w:t>3</w:t>
            </w:r>
            <w:r w:rsidRPr="00D42594">
              <w:rPr>
                <w:color w:val="auto"/>
              </w:rPr>
              <w:t>)</w:t>
            </w:r>
          </w:p>
        </w:tc>
        <w:tc>
          <w:tcPr>
            <w:tcW w:w="2340" w:type="dxa"/>
            <w:gridSpan w:val="2"/>
            <w:tcBorders>
              <w:top w:val="single" w:sz="4" w:space="0" w:color="auto"/>
              <w:left w:val="nil"/>
              <w:bottom w:val="nil"/>
              <w:right w:val="single" w:sz="4" w:space="0" w:color="000000"/>
            </w:tcBorders>
            <w:shd w:val="clear" w:color="auto" w:fill="B4C6E7" w:themeFill="accent1" w:themeFillTint="66"/>
            <w:noWrap/>
            <w:vAlign w:val="center"/>
          </w:tcPr>
          <w:p w14:paraId="766C9C79" w14:textId="77777777" w:rsidR="00D42594" w:rsidRPr="00D42594" w:rsidRDefault="00D42594" w:rsidP="00D42594">
            <w:pPr>
              <w:widowControl w:val="0"/>
              <w:jc w:val="center"/>
              <w:rPr>
                <w:color w:val="auto"/>
              </w:rPr>
            </w:pPr>
            <w:r w:rsidRPr="00D42594">
              <w:rPr>
                <w:color w:val="auto"/>
              </w:rPr>
              <w:t>karcinogenní riziko (ILCR)</w:t>
            </w:r>
          </w:p>
        </w:tc>
        <w:tc>
          <w:tcPr>
            <w:tcW w:w="2005" w:type="dxa"/>
            <w:gridSpan w:val="2"/>
            <w:tcBorders>
              <w:top w:val="single" w:sz="4" w:space="0" w:color="auto"/>
              <w:left w:val="nil"/>
              <w:bottom w:val="nil"/>
              <w:right w:val="single" w:sz="4" w:space="0" w:color="000000"/>
            </w:tcBorders>
            <w:shd w:val="clear" w:color="auto" w:fill="B4C6E7" w:themeFill="accent1" w:themeFillTint="66"/>
            <w:noWrap/>
            <w:vAlign w:val="center"/>
          </w:tcPr>
          <w:p w14:paraId="3FBBBCDA" w14:textId="77777777" w:rsidR="00D42594" w:rsidRPr="00D42594" w:rsidRDefault="00D42594" w:rsidP="00D42594">
            <w:pPr>
              <w:widowControl w:val="0"/>
              <w:jc w:val="center"/>
              <w:rPr>
                <w:color w:val="auto"/>
              </w:rPr>
            </w:pPr>
            <w:r w:rsidRPr="00D42594">
              <w:rPr>
                <w:color w:val="auto"/>
              </w:rPr>
              <w:t>populační riziko/70 let</w:t>
            </w:r>
          </w:p>
        </w:tc>
      </w:tr>
      <w:tr w:rsidR="00C569D0" w:rsidRPr="00D66167" w14:paraId="00FA8F1F" w14:textId="77777777" w:rsidTr="00C569D0">
        <w:trPr>
          <w:trHeight w:val="98"/>
          <w:jc w:val="center"/>
        </w:trPr>
        <w:tc>
          <w:tcPr>
            <w:tcW w:w="3210" w:type="dxa"/>
            <w:tcBorders>
              <w:top w:val="nil"/>
              <w:left w:val="single" w:sz="4" w:space="0" w:color="auto"/>
              <w:bottom w:val="single" w:sz="4" w:space="0" w:color="auto"/>
              <w:right w:val="single" w:sz="4" w:space="0" w:color="auto"/>
            </w:tcBorders>
            <w:shd w:val="clear" w:color="auto" w:fill="B4C6E7" w:themeFill="accent1" w:themeFillTint="66"/>
            <w:noWrap/>
            <w:vAlign w:val="center"/>
          </w:tcPr>
          <w:p w14:paraId="238B2353" w14:textId="69A3E110" w:rsidR="00D42594" w:rsidRPr="00D42594" w:rsidRDefault="00D42594" w:rsidP="00D42594">
            <w:pPr>
              <w:widowControl w:val="0"/>
              <w:rPr>
                <w:color w:val="auto"/>
              </w:rPr>
            </w:pPr>
            <w:r w:rsidRPr="00D42594">
              <w:rPr>
                <w:color w:val="auto"/>
              </w:rPr>
              <w:t>202</w:t>
            </w:r>
            <w:r>
              <w:rPr>
                <w:color w:val="auto"/>
              </w:rPr>
              <w:t>2</w:t>
            </w:r>
          </w:p>
        </w:tc>
        <w:tc>
          <w:tcPr>
            <w:tcW w:w="1080" w:type="dxa"/>
            <w:tcBorders>
              <w:top w:val="nil"/>
              <w:left w:val="nil"/>
              <w:bottom w:val="single" w:sz="4" w:space="0" w:color="auto"/>
              <w:right w:val="nil"/>
            </w:tcBorders>
            <w:shd w:val="clear" w:color="auto" w:fill="B4C6E7" w:themeFill="accent1" w:themeFillTint="66"/>
            <w:noWrap/>
            <w:vAlign w:val="center"/>
          </w:tcPr>
          <w:p w14:paraId="2BD6EB90" w14:textId="60C46F1D" w:rsidR="00D42594" w:rsidRPr="00D42594" w:rsidRDefault="00672A19" w:rsidP="00672A19">
            <w:pPr>
              <w:widowControl w:val="0"/>
              <w:jc w:val="center"/>
              <w:rPr>
                <w:color w:val="auto"/>
              </w:rPr>
            </w:pPr>
            <w:r>
              <w:rPr>
                <w:color w:val="auto"/>
              </w:rPr>
              <w:t>M</w:t>
            </w:r>
            <w:r w:rsidR="00D42594" w:rsidRPr="00D42594">
              <w:rPr>
                <w:color w:val="auto"/>
              </w:rPr>
              <w:t>in</w:t>
            </w:r>
          </w:p>
        </w:tc>
        <w:tc>
          <w:tcPr>
            <w:tcW w:w="909" w:type="dxa"/>
            <w:tcBorders>
              <w:top w:val="nil"/>
              <w:left w:val="nil"/>
              <w:bottom w:val="single" w:sz="4" w:space="0" w:color="auto"/>
              <w:right w:val="nil"/>
            </w:tcBorders>
            <w:shd w:val="clear" w:color="auto" w:fill="B4C6E7" w:themeFill="accent1" w:themeFillTint="66"/>
            <w:noWrap/>
            <w:vAlign w:val="center"/>
          </w:tcPr>
          <w:p w14:paraId="6F17C6EE" w14:textId="527B1CF0" w:rsidR="00D42594" w:rsidRPr="00D42594" w:rsidRDefault="00672A19" w:rsidP="00672A19">
            <w:pPr>
              <w:widowControl w:val="0"/>
              <w:jc w:val="center"/>
              <w:rPr>
                <w:color w:val="auto"/>
              </w:rPr>
            </w:pPr>
            <w:r>
              <w:rPr>
                <w:color w:val="auto"/>
              </w:rPr>
              <w:t>M</w:t>
            </w:r>
            <w:r w:rsidR="00D42594" w:rsidRPr="00D42594">
              <w:rPr>
                <w:color w:val="auto"/>
              </w:rPr>
              <w:t>ax</w:t>
            </w:r>
          </w:p>
        </w:tc>
        <w:tc>
          <w:tcPr>
            <w:tcW w:w="1251" w:type="dxa"/>
            <w:tcBorders>
              <w:top w:val="nil"/>
              <w:left w:val="single" w:sz="4" w:space="0" w:color="auto"/>
              <w:bottom w:val="single" w:sz="4" w:space="0" w:color="auto"/>
              <w:right w:val="nil"/>
            </w:tcBorders>
            <w:shd w:val="clear" w:color="auto" w:fill="B4C6E7" w:themeFill="accent1" w:themeFillTint="66"/>
            <w:noWrap/>
            <w:vAlign w:val="center"/>
          </w:tcPr>
          <w:p w14:paraId="7E378D92" w14:textId="46A03625" w:rsidR="00D42594" w:rsidRPr="00D42594" w:rsidRDefault="00672A19" w:rsidP="00672A19">
            <w:pPr>
              <w:widowControl w:val="0"/>
              <w:jc w:val="center"/>
              <w:rPr>
                <w:color w:val="auto"/>
              </w:rPr>
            </w:pPr>
            <w:r>
              <w:rPr>
                <w:color w:val="auto"/>
              </w:rPr>
              <w:t>M</w:t>
            </w:r>
            <w:r w:rsidR="00D42594" w:rsidRPr="00D42594">
              <w:rPr>
                <w:color w:val="auto"/>
              </w:rPr>
              <w:t>in</w:t>
            </w:r>
          </w:p>
        </w:tc>
        <w:tc>
          <w:tcPr>
            <w:tcW w:w="1089" w:type="dxa"/>
            <w:tcBorders>
              <w:top w:val="nil"/>
              <w:left w:val="nil"/>
              <w:bottom w:val="single" w:sz="4" w:space="0" w:color="auto"/>
              <w:right w:val="single" w:sz="4" w:space="0" w:color="auto"/>
            </w:tcBorders>
            <w:shd w:val="clear" w:color="auto" w:fill="B4C6E7" w:themeFill="accent1" w:themeFillTint="66"/>
            <w:noWrap/>
            <w:vAlign w:val="center"/>
          </w:tcPr>
          <w:p w14:paraId="343F16A5" w14:textId="3052FF81" w:rsidR="00D42594" w:rsidRPr="00D42594" w:rsidRDefault="00672A19" w:rsidP="00D42594">
            <w:pPr>
              <w:widowControl w:val="0"/>
              <w:jc w:val="center"/>
              <w:rPr>
                <w:color w:val="auto"/>
              </w:rPr>
            </w:pPr>
            <w:r>
              <w:rPr>
                <w:color w:val="auto"/>
              </w:rPr>
              <w:t>M</w:t>
            </w:r>
            <w:r w:rsidR="00D42594" w:rsidRPr="00D42594">
              <w:rPr>
                <w:color w:val="auto"/>
              </w:rPr>
              <w:t>ax</w:t>
            </w:r>
          </w:p>
        </w:tc>
        <w:tc>
          <w:tcPr>
            <w:tcW w:w="1063" w:type="dxa"/>
            <w:tcBorders>
              <w:top w:val="nil"/>
              <w:left w:val="nil"/>
              <w:bottom w:val="single" w:sz="4" w:space="0" w:color="auto"/>
              <w:right w:val="nil"/>
            </w:tcBorders>
            <w:shd w:val="clear" w:color="auto" w:fill="B4C6E7" w:themeFill="accent1" w:themeFillTint="66"/>
            <w:noWrap/>
            <w:vAlign w:val="center"/>
          </w:tcPr>
          <w:p w14:paraId="7354947A" w14:textId="3250D823" w:rsidR="00D42594" w:rsidRPr="00D42594" w:rsidRDefault="00672A19" w:rsidP="00D42594">
            <w:pPr>
              <w:widowControl w:val="0"/>
              <w:jc w:val="center"/>
              <w:rPr>
                <w:color w:val="auto"/>
              </w:rPr>
            </w:pPr>
            <w:r>
              <w:rPr>
                <w:color w:val="auto"/>
              </w:rPr>
              <w:t>M</w:t>
            </w:r>
            <w:r w:rsidR="00D42594" w:rsidRPr="00D42594">
              <w:rPr>
                <w:color w:val="auto"/>
              </w:rPr>
              <w:t>in</w:t>
            </w:r>
          </w:p>
        </w:tc>
        <w:tc>
          <w:tcPr>
            <w:tcW w:w="942" w:type="dxa"/>
            <w:tcBorders>
              <w:top w:val="nil"/>
              <w:left w:val="nil"/>
              <w:bottom w:val="single" w:sz="4" w:space="0" w:color="auto"/>
              <w:right w:val="single" w:sz="4" w:space="0" w:color="auto"/>
            </w:tcBorders>
            <w:shd w:val="clear" w:color="auto" w:fill="B4C6E7" w:themeFill="accent1" w:themeFillTint="66"/>
            <w:noWrap/>
            <w:vAlign w:val="center"/>
          </w:tcPr>
          <w:p w14:paraId="0ED0F2AD" w14:textId="771A0191" w:rsidR="00D42594" w:rsidRPr="00D42594" w:rsidRDefault="00672A19" w:rsidP="00D42594">
            <w:pPr>
              <w:widowControl w:val="0"/>
              <w:jc w:val="center"/>
              <w:rPr>
                <w:color w:val="auto"/>
              </w:rPr>
            </w:pPr>
            <w:r>
              <w:rPr>
                <w:color w:val="auto"/>
              </w:rPr>
              <w:t>M</w:t>
            </w:r>
            <w:r w:rsidR="00D42594" w:rsidRPr="00D42594">
              <w:rPr>
                <w:color w:val="auto"/>
              </w:rPr>
              <w:t>ax</w:t>
            </w:r>
          </w:p>
        </w:tc>
      </w:tr>
      <w:tr w:rsidR="00D42594" w:rsidRPr="00D66167" w14:paraId="1807C783" w14:textId="77777777" w:rsidTr="00C569D0">
        <w:trPr>
          <w:trHeight w:val="315"/>
          <w:jc w:val="center"/>
        </w:trPr>
        <w:tc>
          <w:tcPr>
            <w:tcW w:w="3210" w:type="dxa"/>
            <w:tcBorders>
              <w:top w:val="nil"/>
              <w:left w:val="single" w:sz="4" w:space="0" w:color="auto"/>
              <w:bottom w:val="nil"/>
              <w:right w:val="nil"/>
            </w:tcBorders>
            <w:shd w:val="clear" w:color="auto" w:fill="B4C6E7" w:themeFill="accent1" w:themeFillTint="66"/>
            <w:noWrap/>
            <w:vAlign w:val="bottom"/>
          </w:tcPr>
          <w:p w14:paraId="27515B8D" w14:textId="77777777" w:rsidR="00D42594" w:rsidRPr="00D42594" w:rsidRDefault="00D42594" w:rsidP="00D42594">
            <w:pPr>
              <w:widowControl w:val="0"/>
              <w:rPr>
                <w:color w:val="auto"/>
              </w:rPr>
            </w:pPr>
            <w:r w:rsidRPr="00D42594">
              <w:rPr>
                <w:color w:val="auto"/>
              </w:rPr>
              <w:t>ČR (10,5 mil. obyvatel)</w:t>
            </w:r>
          </w:p>
        </w:tc>
        <w:tc>
          <w:tcPr>
            <w:tcW w:w="1080" w:type="dxa"/>
            <w:tcBorders>
              <w:top w:val="single" w:sz="4" w:space="0" w:color="auto"/>
              <w:left w:val="single" w:sz="4" w:space="0" w:color="auto"/>
              <w:bottom w:val="nil"/>
              <w:right w:val="nil"/>
            </w:tcBorders>
            <w:shd w:val="clear" w:color="auto" w:fill="auto"/>
            <w:noWrap/>
            <w:vAlign w:val="center"/>
          </w:tcPr>
          <w:p w14:paraId="7731E80B" w14:textId="77777777" w:rsidR="00D42594" w:rsidRPr="00C569D0" w:rsidRDefault="00D42594" w:rsidP="00D42594">
            <w:pPr>
              <w:widowControl w:val="0"/>
              <w:jc w:val="center"/>
              <w:rPr>
                <w:color w:val="auto"/>
              </w:rPr>
            </w:pPr>
            <w:r w:rsidRPr="00C569D0">
              <w:rPr>
                <w:color w:val="auto"/>
              </w:rPr>
              <w:t>0,25</w:t>
            </w:r>
          </w:p>
        </w:tc>
        <w:tc>
          <w:tcPr>
            <w:tcW w:w="909" w:type="dxa"/>
            <w:tcBorders>
              <w:top w:val="single" w:sz="4" w:space="0" w:color="auto"/>
              <w:left w:val="nil"/>
              <w:bottom w:val="nil"/>
              <w:right w:val="nil"/>
            </w:tcBorders>
            <w:shd w:val="clear" w:color="auto" w:fill="auto"/>
            <w:noWrap/>
            <w:vAlign w:val="center"/>
          </w:tcPr>
          <w:p w14:paraId="509FDFB3" w14:textId="7A63C7B3" w:rsidR="00D42594" w:rsidRPr="00C569D0" w:rsidRDefault="00C569D0" w:rsidP="00C569D0">
            <w:pPr>
              <w:widowControl w:val="0"/>
              <w:jc w:val="center"/>
              <w:rPr>
                <w:color w:val="auto"/>
              </w:rPr>
            </w:pPr>
            <w:r w:rsidRPr="00C569D0">
              <w:rPr>
                <w:color w:val="auto"/>
              </w:rPr>
              <w:t>6,02</w:t>
            </w:r>
          </w:p>
        </w:tc>
        <w:tc>
          <w:tcPr>
            <w:tcW w:w="1251" w:type="dxa"/>
            <w:tcBorders>
              <w:top w:val="single" w:sz="4" w:space="0" w:color="auto"/>
              <w:left w:val="single" w:sz="4" w:space="0" w:color="auto"/>
              <w:bottom w:val="nil"/>
              <w:right w:val="nil"/>
            </w:tcBorders>
            <w:shd w:val="clear" w:color="auto" w:fill="auto"/>
            <w:noWrap/>
            <w:vAlign w:val="center"/>
          </w:tcPr>
          <w:p w14:paraId="2055B543" w14:textId="1E4642D7" w:rsidR="00D42594" w:rsidRPr="00C569D0" w:rsidRDefault="00D42594" w:rsidP="00C569D0">
            <w:pPr>
              <w:widowControl w:val="0"/>
              <w:jc w:val="center"/>
              <w:rPr>
                <w:color w:val="auto"/>
              </w:rPr>
            </w:pPr>
            <w:r w:rsidRPr="00C569D0">
              <w:rPr>
                <w:color w:val="auto"/>
              </w:rPr>
              <w:t>2,</w:t>
            </w:r>
            <w:r w:rsidR="00C569D0" w:rsidRPr="00C569D0">
              <w:rPr>
                <w:color w:val="auto"/>
              </w:rPr>
              <w:t>18</w:t>
            </w:r>
            <w:r w:rsidRPr="00C569D0">
              <w:rPr>
                <w:color w:val="auto"/>
              </w:rPr>
              <w:t>E-05</w:t>
            </w:r>
          </w:p>
        </w:tc>
        <w:tc>
          <w:tcPr>
            <w:tcW w:w="1089" w:type="dxa"/>
            <w:tcBorders>
              <w:top w:val="single" w:sz="4" w:space="0" w:color="auto"/>
              <w:left w:val="nil"/>
              <w:bottom w:val="nil"/>
              <w:right w:val="single" w:sz="4" w:space="0" w:color="auto"/>
            </w:tcBorders>
            <w:shd w:val="clear" w:color="auto" w:fill="auto"/>
            <w:noWrap/>
            <w:vAlign w:val="center"/>
          </w:tcPr>
          <w:p w14:paraId="1317A003" w14:textId="6880D7F6" w:rsidR="00D42594" w:rsidRPr="00C569D0" w:rsidRDefault="00C569D0" w:rsidP="00C569D0">
            <w:pPr>
              <w:widowControl w:val="0"/>
              <w:jc w:val="center"/>
              <w:rPr>
                <w:color w:val="auto"/>
              </w:rPr>
            </w:pPr>
            <w:r w:rsidRPr="00C569D0">
              <w:rPr>
                <w:color w:val="auto"/>
              </w:rPr>
              <w:t>5,24</w:t>
            </w:r>
            <w:r w:rsidR="00D42594" w:rsidRPr="00C569D0">
              <w:rPr>
                <w:color w:val="auto"/>
              </w:rPr>
              <w:t>E-04</w:t>
            </w:r>
          </w:p>
        </w:tc>
        <w:tc>
          <w:tcPr>
            <w:tcW w:w="1063" w:type="dxa"/>
            <w:tcBorders>
              <w:top w:val="single" w:sz="4" w:space="0" w:color="auto"/>
              <w:left w:val="nil"/>
              <w:bottom w:val="nil"/>
              <w:right w:val="nil"/>
            </w:tcBorders>
            <w:shd w:val="clear" w:color="auto" w:fill="auto"/>
            <w:noWrap/>
            <w:vAlign w:val="center"/>
          </w:tcPr>
          <w:p w14:paraId="0C62504F" w14:textId="7A75D8AA" w:rsidR="00D42594" w:rsidRPr="00C569D0" w:rsidRDefault="00D42594" w:rsidP="00C569D0">
            <w:pPr>
              <w:widowControl w:val="0"/>
              <w:jc w:val="center"/>
              <w:rPr>
                <w:color w:val="auto"/>
              </w:rPr>
            </w:pPr>
            <w:r w:rsidRPr="00C569D0">
              <w:rPr>
                <w:color w:val="auto"/>
              </w:rPr>
              <w:t>3,</w:t>
            </w:r>
            <w:r w:rsidR="00C569D0" w:rsidRPr="00C569D0">
              <w:rPr>
                <w:color w:val="auto"/>
              </w:rPr>
              <w:t>2</w:t>
            </w:r>
            <w:r w:rsidRPr="00C569D0">
              <w:rPr>
                <w:color w:val="auto"/>
              </w:rPr>
              <w:t>7</w:t>
            </w:r>
          </w:p>
        </w:tc>
        <w:tc>
          <w:tcPr>
            <w:tcW w:w="942" w:type="dxa"/>
            <w:tcBorders>
              <w:top w:val="single" w:sz="4" w:space="0" w:color="auto"/>
              <w:left w:val="nil"/>
              <w:bottom w:val="nil"/>
              <w:right w:val="single" w:sz="4" w:space="0" w:color="auto"/>
            </w:tcBorders>
            <w:shd w:val="clear" w:color="auto" w:fill="auto"/>
            <w:noWrap/>
            <w:vAlign w:val="center"/>
          </w:tcPr>
          <w:p w14:paraId="32AFA989" w14:textId="1521373E" w:rsidR="00D42594" w:rsidRPr="00C569D0" w:rsidRDefault="00C569D0" w:rsidP="00D42594">
            <w:pPr>
              <w:widowControl w:val="0"/>
              <w:jc w:val="center"/>
              <w:rPr>
                <w:color w:val="auto"/>
              </w:rPr>
            </w:pPr>
            <w:r w:rsidRPr="00C569D0">
              <w:rPr>
                <w:color w:val="auto"/>
              </w:rPr>
              <w:t>78</w:t>
            </w:r>
            <w:r w:rsidR="00D42594" w:rsidRPr="00C569D0">
              <w:rPr>
                <w:color w:val="auto"/>
              </w:rPr>
              <w:t>,6</w:t>
            </w:r>
          </w:p>
        </w:tc>
      </w:tr>
      <w:tr w:rsidR="00D42594" w:rsidRPr="00D66167" w14:paraId="65C5BEE7" w14:textId="77777777" w:rsidTr="00C569D0">
        <w:trPr>
          <w:trHeight w:val="315"/>
          <w:jc w:val="center"/>
        </w:trPr>
        <w:tc>
          <w:tcPr>
            <w:tcW w:w="3210" w:type="dxa"/>
            <w:tcBorders>
              <w:top w:val="nil"/>
              <w:left w:val="single" w:sz="4" w:space="0" w:color="auto"/>
              <w:bottom w:val="nil"/>
              <w:right w:val="nil"/>
            </w:tcBorders>
            <w:shd w:val="clear" w:color="auto" w:fill="B4C6E7" w:themeFill="accent1" w:themeFillTint="66"/>
            <w:noWrap/>
            <w:vAlign w:val="bottom"/>
          </w:tcPr>
          <w:p w14:paraId="7D7D9ECA" w14:textId="77777777" w:rsidR="00D42594" w:rsidRPr="00D42594" w:rsidRDefault="00D42594" w:rsidP="00D42594">
            <w:pPr>
              <w:widowControl w:val="0"/>
              <w:rPr>
                <w:color w:val="auto"/>
              </w:rPr>
            </w:pPr>
            <w:r w:rsidRPr="00D42594">
              <w:rPr>
                <w:color w:val="auto"/>
              </w:rPr>
              <w:t>města (nad 5 tis. – 5,2 mil. ob.)</w:t>
            </w:r>
          </w:p>
        </w:tc>
        <w:tc>
          <w:tcPr>
            <w:tcW w:w="1080" w:type="dxa"/>
            <w:tcBorders>
              <w:top w:val="nil"/>
              <w:left w:val="single" w:sz="4" w:space="0" w:color="auto"/>
              <w:bottom w:val="nil"/>
              <w:right w:val="nil"/>
            </w:tcBorders>
            <w:shd w:val="clear" w:color="auto" w:fill="auto"/>
            <w:noWrap/>
            <w:vAlign w:val="center"/>
          </w:tcPr>
          <w:p w14:paraId="5741A00C" w14:textId="42950616" w:rsidR="00D42594" w:rsidRPr="00C569D0" w:rsidRDefault="00D42594" w:rsidP="00C569D0">
            <w:pPr>
              <w:widowControl w:val="0"/>
              <w:jc w:val="center"/>
              <w:rPr>
                <w:color w:val="auto"/>
              </w:rPr>
            </w:pPr>
            <w:r w:rsidRPr="00C569D0">
              <w:rPr>
                <w:color w:val="auto"/>
              </w:rPr>
              <w:t>0,3</w:t>
            </w:r>
            <w:r w:rsidR="00C569D0" w:rsidRPr="00C569D0">
              <w:rPr>
                <w:color w:val="auto"/>
              </w:rPr>
              <w:t>3</w:t>
            </w:r>
          </w:p>
        </w:tc>
        <w:tc>
          <w:tcPr>
            <w:tcW w:w="909" w:type="dxa"/>
            <w:tcBorders>
              <w:top w:val="nil"/>
              <w:left w:val="nil"/>
              <w:bottom w:val="nil"/>
              <w:right w:val="nil"/>
            </w:tcBorders>
            <w:shd w:val="clear" w:color="auto" w:fill="auto"/>
            <w:noWrap/>
            <w:vAlign w:val="center"/>
          </w:tcPr>
          <w:p w14:paraId="0BA5BF29" w14:textId="5EA50994" w:rsidR="00D42594" w:rsidRPr="00C569D0" w:rsidRDefault="00C569D0" w:rsidP="00C569D0">
            <w:pPr>
              <w:widowControl w:val="0"/>
              <w:jc w:val="center"/>
              <w:rPr>
                <w:color w:val="auto"/>
              </w:rPr>
            </w:pPr>
            <w:r w:rsidRPr="00C569D0">
              <w:rPr>
                <w:color w:val="auto"/>
              </w:rPr>
              <w:t>6,02</w:t>
            </w:r>
          </w:p>
        </w:tc>
        <w:tc>
          <w:tcPr>
            <w:tcW w:w="1251" w:type="dxa"/>
            <w:tcBorders>
              <w:top w:val="nil"/>
              <w:left w:val="single" w:sz="4" w:space="0" w:color="auto"/>
              <w:bottom w:val="nil"/>
              <w:right w:val="nil"/>
            </w:tcBorders>
            <w:shd w:val="clear" w:color="auto" w:fill="auto"/>
            <w:noWrap/>
            <w:vAlign w:val="center"/>
          </w:tcPr>
          <w:p w14:paraId="70A3305A" w14:textId="2C04A32F" w:rsidR="00D42594" w:rsidRPr="00C569D0" w:rsidRDefault="00D42594" w:rsidP="00C569D0">
            <w:pPr>
              <w:widowControl w:val="0"/>
              <w:jc w:val="center"/>
              <w:rPr>
                <w:color w:val="auto"/>
              </w:rPr>
            </w:pPr>
            <w:r w:rsidRPr="00C569D0">
              <w:rPr>
                <w:color w:val="auto"/>
              </w:rPr>
              <w:t>2,</w:t>
            </w:r>
            <w:r w:rsidR="00C569D0" w:rsidRPr="00C569D0">
              <w:rPr>
                <w:color w:val="auto"/>
              </w:rPr>
              <w:t>87</w:t>
            </w:r>
            <w:r w:rsidRPr="00C569D0">
              <w:rPr>
                <w:color w:val="auto"/>
              </w:rPr>
              <w:t>E-05</w:t>
            </w:r>
          </w:p>
        </w:tc>
        <w:tc>
          <w:tcPr>
            <w:tcW w:w="1089" w:type="dxa"/>
            <w:tcBorders>
              <w:top w:val="nil"/>
              <w:left w:val="nil"/>
              <w:bottom w:val="nil"/>
              <w:right w:val="single" w:sz="4" w:space="0" w:color="auto"/>
            </w:tcBorders>
            <w:shd w:val="clear" w:color="auto" w:fill="auto"/>
            <w:noWrap/>
            <w:vAlign w:val="center"/>
          </w:tcPr>
          <w:p w14:paraId="3F82F032" w14:textId="2B876EF5" w:rsidR="00D42594" w:rsidRPr="00C569D0" w:rsidRDefault="00C569D0" w:rsidP="00D42594">
            <w:pPr>
              <w:widowControl w:val="0"/>
              <w:jc w:val="center"/>
              <w:rPr>
                <w:color w:val="auto"/>
              </w:rPr>
            </w:pPr>
            <w:r w:rsidRPr="00C569D0">
              <w:rPr>
                <w:color w:val="auto"/>
              </w:rPr>
              <w:t>5,24</w:t>
            </w:r>
            <w:r w:rsidR="00D42594" w:rsidRPr="00C569D0">
              <w:rPr>
                <w:color w:val="auto"/>
              </w:rPr>
              <w:t>E-04</w:t>
            </w:r>
          </w:p>
        </w:tc>
        <w:tc>
          <w:tcPr>
            <w:tcW w:w="1063" w:type="dxa"/>
            <w:tcBorders>
              <w:top w:val="nil"/>
              <w:left w:val="nil"/>
              <w:bottom w:val="nil"/>
              <w:right w:val="nil"/>
            </w:tcBorders>
            <w:shd w:val="clear" w:color="auto" w:fill="auto"/>
            <w:noWrap/>
            <w:vAlign w:val="center"/>
          </w:tcPr>
          <w:p w14:paraId="1D457F9D" w14:textId="4931F158" w:rsidR="00D42594" w:rsidRPr="00C569D0" w:rsidRDefault="00C569D0" w:rsidP="00C569D0">
            <w:pPr>
              <w:widowControl w:val="0"/>
              <w:jc w:val="center"/>
              <w:rPr>
                <w:color w:val="auto"/>
              </w:rPr>
            </w:pPr>
            <w:r w:rsidRPr="00C569D0">
              <w:rPr>
                <w:color w:val="auto"/>
              </w:rPr>
              <w:t>2</w:t>
            </w:r>
            <w:r w:rsidR="00D42594" w:rsidRPr="00C569D0">
              <w:rPr>
                <w:color w:val="auto"/>
              </w:rPr>
              <w:t>,</w:t>
            </w:r>
            <w:r w:rsidRPr="00C569D0">
              <w:rPr>
                <w:color w:val="auto"/>
              </w:rPr>
              <w:t>15</w:t>
            </w:r>
          </w:p>
        </w:tc>
        <w:tc>
          <w:tcPr>
            <w:tcW w:w="942" w:type="dxa"/>
            <w:tcBorders>
              <w:top w:val="nil"/>
              <w:left w:val="nil"/>
              <w:bottom w:val="nil"/>
              <w:right w:val="single" w:sz="4" w:space="0" w:color="auto"/>
            </w:tcBorders>
            <w:shd w:val="clear" w:color="auto" w:fill="auto"/>
            <w:noWrap/>
            <w:vAlign w:val="center"/>
          </w:tcPr>
          <w:p w14:paraId="0E3D6E86" w14:textId="1A724697" w:rsidR="00D42594" w:rsidRPr="00C569D0" w:rsidRDefault="00C569D0" w:rsidP="00C569D0">
            <w:pPr>
              <w:widowControl w:val="0"/>
              <w:jc w:val="center"/>
              <w:rPr>
                <w:color w:val="auto"/>
              </w:rPr>
            </w:pPr>
            <w:r w:rsidRPr="00C569D0">
              <w:rPr>
                <w:color w:val="auto"/>
              </w:rPr>
              <w:t>39,3</w:t>
            </w:r>
          </w:p>
        </w:tc>
      </w:tr>
      <w:tr w:rsidR="00D42594" w:rsidRPr="00D66167" w14:paraId="77C85876" w14:textId="77777777" w:rsidTr="00C569D0">
        <w:trPr>
          <w:trHeight w:val="315"/>
          <w:jc w:val="center"/>
        </w:trPr>
        <w:tc>
          <w:tcPr>
            <w:tcW w:w="3210" w:type="dxa"/>
            <w:tcBorders>
              <w:top w:val="nil"/>
              <w:left w:val="single" w:sz="4" w:space="0" w:color="auto"/>
              <w:bottom w:val="nil"/>
              <w:right w:val="nil"/>
            </w:tcBorders>
            <w:shd w:val="clear" w:color="auto" w:fill="B4C6E7" w:themeFill="accent1" w:themeFillTint="66"/>
            <w:noWrap/>
            <w:vAlign w:val="center"/>
          </w:tcPr>
          <w:p w14:paraId="6E3994E8" w14:textId="77777777" w:rsidR="00D42594" w:rsidRPr="00D42594" w:rsidRDefault="00D42594" w:rsidP="00D42594">
            <w:pPr>
              <w:widowControl w:val="0"/>
              <w:jc w:val="right"/>
              <w:rPr>
                <w:color w:val="auto"/>
              </w:rPr>
            </w:pPr>
            <w:r w:rsidRPr="00D42594">
              <w:rPr>
                <w:color w:val="auto"/>
              </w:rPr>
              <w:t>lokality bez dopravní zátěže</w:t>
            </w:r>
          </w:p>
        </w:tc>
        <w:tc>
          <w:tcPr>
            <w:tcW w:w="1080" w:type="dxa"/>
            <w:tcBorders>
              <w:top w:val="nil"/>
              <w:left w:val="single" w:sz="4" w:space="0" w:color="auto"/>
              <w:bottom w:val="nil"/>
              <w:right w:val="nil"/>
            </w:tcBorders>
            <w:shd w:val="clear" w:color="auto" w:fill="auto"/>
            <w:noWrap/>
            <w:vAlign w:val="center"/>
          </w:tcPr>
          <w:p w14:paraId="32128530" w14:textId="116D916A" w:rsidR="00D42594" w:rsidRPr="00C569D0" w:rsidRDefault="00D42594" w:rsidP="00C569D0">
            <w:pPr>
              <w:widowControl w:val="0"/>
              <w:jc w:val="center"/>
              <w:rPr>
                <w:color w:val="auto"/>
              </w:rPr>
            </w:pPr>
            <w:r w:rsidRPr="00C569D0">
              <w:rPr>
                <w:color w:val="auto"/>
              </w:rPr>
              <w:t>0,3</w:t>
            </w:r>
            <w:r w:rsidR="00C569D0" w:rsidRPr="00C569D0">
              <w:rPr>
                <w:color w:val="auto"/>
              </w:rPr>
              <w:t>3</w:t>
            </w:r>
          </w:p>
        </w:tc>
        <w:tc>
          <w:tcPr>
            <w:tcW w:w="909" w:type="dxa"/>
            <w:tcBorders>
              <w:top w:val="nil"/>
              <w:left w:val="nil"/>
              <w:bottom w:val="nil"/>
              <w:right w:val="nil"/>
            </w:tcBorders>
            <w:shd w:val="clear" w:color="auto" w:fill="auto"/>
            <w:noWrap/>
            <w:vAlign w:val="center"/>
          </w:tcPr>
          <w:p w14:paraId="0B8C547D" w14:textId="07827A11" w:rsidR="00D42594" w:rsidRPr="00C569D0" w:rsidRDefault="00D42594" w:rsidP="00C569D0">
            <w:pPr>
              <w:widowControl w:val="0"/>
              <w:jc w:val="center"/>
              <w:rPr>
                <w:color w:val="auto"/>
              </w:rPr>
            </w:pPr>
            <w:r w:rsidRPr="00C569D0">
              <w:rPr>
                <w:color w:val="auto"/>
              </w:rPr>
              <w:t>2,</w:t>
            </w:r>
            <w:r w:rsidR="00C569D0" w:rsidRPr="00C569D0">
              <w:rPr>
                <w:color w:val="auto"/>
              </w:rPr>
              <w:t>21</w:t>
            </w:r>
          </w:p>
        </w:tc>
        <w:tc>
          <w:tcPr>
            <w:tcW w:w="1251" w:type="dxa"/>
            <w:tcBorders>
              <w:top w:val="nil"/>
              <w:left w:val="single" w:sz="4" w:space="0" w:color="auto"/>
              <w:bottom w:val="nil"/>
              <w:right w:val="nil"/>
            </w:tcBorders>
            <w:shd w:val="clear" w:color="auto" w:fill="auto"/>
            <w:noWrap/>
            <w:vAlign w:val="center"/>
          </w:tcPr>
          <w:p w14:paraId="2191EEEB" w14:textId="3CE4180C" w:rsidR="00D42594" w:rsidRPr="00C569D0" w:rsidRDefault="00D42594" w:rsidP="00C569D0">
            <w:pPr>
              <w:widowControl w:val="0"/>
              <w:jc w:val="center"/>
              <w:rPr>
                <w:color w:val="auto"/>
              </w:rPr>
            </w:pPr>
            <w:r w:rsidRPr="00C569D0">
              <w:rPr>
                <w:color w:val="auto"/>
              </w:rPr>
              <w:t>2,</w:t>
            </w:r>
            <w:r w:rsidR="00C569D0" w:rsidRPr="00C569D0">
              <w:rPr>
                <w:color w:val="auto"/>
              </w:rPr>
              <w:t>87</w:t>
            </w:r>
            <w:r w:rsidRPr="00C569D0">
              <w:rPr>
                <w:color w:val="auto"/>
              </w:rPr>
              <w:t>E-05</w:t>
            </w:r>
          </w:p>
        </w:tc>
        <w:tc>
          <w:tcPr>
            <w:tcW w:w="1089" w:type="dxa"/>
            <w:tcBorders>
              <w:top w:val="nil"/>
              <w:left w:val="nil"/>
              <w:bottom w:val="nil"/>
              <w:right w:val="single" w:sz="4" w:space="0" w:color="auto"/>
            </w:tcBorders>
            <w:shd w:val="clear" w:color="auto" w:fill="auto"/>
            <w:noWrap/>
            <w:vAlign w:val="center"/>
          </w:tcPr>
          <w:p w14:paraId="768766FD" w14:textId="7172A14C" w:rsidR="00D42594" w:rsidRPr="00C569D0" w:rsidRDefault="00C569D0" w:rsidP="00C569D0">
            <w:pPr>
              <w:widowControl w:val="0"/>
              <w:jc w:val="center"/>
              <w:rPr>
                <w:color w:val="auto"/>
              </w:rPr>
            </w:pPr>
            <w:r w:rsidRPr="00C569D0">
              <w:rPr>
                <w:color w:val="auto"/>
              </w:rPr>
              <w:t>1</w:t>
            </w:r>
            <w:r w:rsidR="00D42594" w:rsidRPr="00C569D0">
              <w:rPr>
                <w:color w:val="auto"/>
              </w:rPr>
              <w:t>,</w:t>
            </w:r>
            <w:r w:rsidRPr="00C569D0">
              <w:rPr>
                <w:color w:val="auto"/>
              </w:rPr>
              <w:t>92</w:t>
            </w:r>
            <w:r w:rsidR="00D42594" w:rsidRPr="00C569D0">
              <w:rPr>
                <w:color w:val="auto"/>
              </w:rPr>
              <w:t>E-04</w:t>
            </w:r>
          </w:p>
        </w:tc>
        <w:tc>
          <w:tcPr>
            <w:tcW w:w="1063" w:type="dxa"/>
            <w:tcBorders>
              <w:top w:val="nil"/>
              <w:left w:val="nil"/>
              <w:bottom w:val="nil"/>
              <w:right w:val="nil"/>
            </w:tcBorders>
            <w:shd w:val="clear" w:color="auto" w:fill="auto"/>
            <w:noWrap/>
            <w:vAlign w:val="center"/>
          </w:tcPr>
          <w:p w14:paraId="4386EBE6" w14:textId="3D9CFDAC" w:rsidR="00D42594" w:rsidRPr="00C569D0" w:rsidRDefault="00C569D0" w:rsidP="00C569D0">
            <w:pPr>
              <w:widowControl w:val="0"/>
              <w:jc w:val="center"/>
              <w:rPr>
                <w:color w:val="auto"/>
              </w:rPr>
            </w:pPr>
            <w:r w:rsidRPr="00C569D0">
              <w:rPr>
                <w:color w:val="auto"/>
              </w:rPr>
              <w:t>2,15</w:t>
            </w:r>
          </w:p>
        </w:tc>
        <w:tc>
          <w:tcPr>
            <w:tcW w:w="942" w:type="dxa"/>
            <w:tcBorders>
              <w:top w:val="nil"/>
              <w:left w:val="nil"/>
              <w:bottom w:val="nil"/>
              <w:right w:val="single" w:sz="4" w:space="0" w:color="auto"/>
            </w:tcBorders>
            <w:shd w:val="clear" w:color="auto" w:fill="auto"/>
            <w:noWrap/>
            <w:vAlign w:val="center"/>
          </w:tcPr>
          <w:p w14:paraId="2A14B74A" w14:textId="2D9138E2" w:rsidR="00D42594" w:rsidRPr="00C569D0" w:rsidRDefault="00D42594" w:rsidP="00C569D0">
            <w:pPr>
              <w:widowControl w:val="0"/>
              <w:jc w:val="center"/>
              <w:rPr>
                <w:color w:val="auto"/>
              </w:rPr>
            </w:pPr>
            <w:r w:rsidRPr="00C569D0">
              <w:rPr>
                <w:color w:val="auto"/>
              </w:rPr>
              <w:t>1</w:t>
            </w:r>
            <w:r w:rsidR="00C569D0" w:rsidRPr="00C569D0">
              <w:rPr>
                <w:color w:val="auto"/>
              </w:rPr>
              <w:t>4</w:t>
            </w:r>
            <w:r w:rsidRPr="00C569D0">
              <w:rPr>
                <w:color w:val="auto"/>
              </w:rPr>
              <w:t>,</w:t>
            </w:r>
            <w:r w:rsidR="00C569D0" w:rsidRPr="00C569D0">
              <w:rPr>
                <w:color w:val="auto"/>
              </w:rPr>
              <w:t>4</w:t>
            </w:r>
          </w:p>
        </w:tc>
      </w:tr>
      <w:tr w:rsidR="00D42594" w:rsidRPr="00D66167" w14:paraId="3FDB35D7" w14:textId="77777777" w:rsidTr="00C569D0">
        <w:trPr>
          <w:trHeight w:val="315"/>
          <w:jc w:val="center"/>
        </w:trPr>
        <w:tc>
          <w:tcPr>
            <w:tcW w:w="3210" w:type="dxa"/>
            <w:tcBorders>
              <w:top w:val="nil"/>
              <w:left w:val="single" w:sz="4" w:space="0" w:color="auto"/>
              <w:bottom w:val="nil"/>
              <w:right w:val="nil"/>
            </w:tcBorders>
            <w:shd w:val="clear" w:color="auto" w:fill="B4C6E7" w:themeFill="accent1" w:themeFillTint="66"/>
            <w:noWrap/>
            <w:vAlign w:val="center"/>
          </w:tcPr>
          <w:p w14:paraId="5BF6AB1D" w14:textId="77777777" w:rsidR="00D42594" w:rsidRPr="00D42594" w:rsidRDefault="00D42594" w:rsidP="00D42594">
            <w:pPr>
              <w:widowControl w:val="0"/>
              <w:jc w:val="right"/>
              <w:rPr>
                <w:color w:val="auto"/>
              </w:rPr>
            </w:pPr>
            <w:r w:rsidRPr="00D42594">
              <w:rPr>
                <w:color w:val="auto"/>
              </w:rPr>
              <w:t>lokality s dopravní zátěží</w:t>
            </w:r>
          </w:p>
        </w:tc>
        <w:tc>
          <w:tcPr>
            <w:tcW w:w="1080" w:type="dxa"/>
            <w:tcBorders>
              <w:top w:val="nil"/>
              <w:left w:val="single" w:sz="4" w:space="0" w:color="auto"/>
              <w:bottom w:val="nil"/>
              <w:right w:val="nil"/>
            </w:tcBorders>
            <w:shd w:val="clear" w:color="auto" w:fill="auto"/>
            <w:noWrap/>
            <w:vAlign w:val="center"/>
          </w:tcPr>
          <w:p w14:paraId="210F684E" w14:textId="5DEBB0AD" w:rsidR="00D42594" w:rsidRPr="00C569D0" w:rsidRDefault="00D42594" w:rsidP="00C569D0">
            <w:pPr>
              <w:widowControl w:val="0"/>
              <w:jc w:val="center"/>
              <w:rPr>
                <w:color w:val="auto"/>
              </w:rPr>
            </w:pPr>
            <w:r w:rsidRPr="00C569D0">
              <w:rPr>
                <w:color w:val="auto"/>
              </w:rPr>
              <w:t>0,</w:t>
            </w:r>
            <w:r w:rsidR="00C569D0" w:rsidRPr="00C569D0">
              <w:rPr>
                <w:color w:val="auto"/>
              </w:rPr>
              <w:t>40</w:t>
            </w:r>
          </w:p>
        </w:tc>
        <w:tc>
          <w:tcPr>
            <w:tcW w:w="909" w:type="dxa"/>
            <w:tcBorders>
              <w:top w:val="nil"/>
              <w:left w:val="nil"/>
              <w:bottom w:val="nil"/>
              <w:right w:val="nil"/>
            </w:tcBorders>
            <w:shd w:val="clear" w:color="auto" w:fill="auto"/>
            <w:noWrap/>
            <w:vAlign w:val="center"/>
          </w:tcPr>
          <w:p w14:paraId="672139F9" w14:textId="52FB2F15" w:rsidR="00D42594" w:rsidRPr="00C569D0" w:rsidRDefault="00D42594" w:rsidP="00C569D0">
            <w:pPr>
              <w:widowControl w:val="0"/>
              <w:jc w:val="center"/>
              <w:rPr>
                <w:color w:val="auto"/>
              </w:rPr>
            </w:pPr>
            <w:r w:rsidRPr="00C569D0">
              <w:rPr>
                <w:color w:val="auto"/>
              </w:rPr>
              <w:t>1,</w:t>
            </w:r>
            <w:r w:rsidR="00C569D0" w:rsidRPr="00C569D0">
              <w:rPr>
                <w:color w:val="auto"/>
              </w:rPr>
              <w:t>62</w:t>
            </w:r>
          </w:p>
        </w:tc>
        <w:tc>
          <w:tcPr>
            <w:tcW w:w="1251" w:type="dxa"/>
            <w:tcBorders>
              <w:top w:val="nil"/>
              <w:left w:val="single" w:sz="4" w:space="0" w:color="auto"/>
              <w:bottom w:val="nil"/>
              <w:right w:val="nil"/>
            </w:tcBorders>
            <w:shd w:val="clear" w:color="auto" w:fill="auto"/>
            <w:noWrap/>
            <w:vAlign w:val="center"/>
          </w:tcPr>
          <w:p w14:paraId="00B9E3CC" w14:textId="499B9826" w:rsidR="00D42594" w:rsidRPr="00C569D0" w:rsidRDefault="00D42594" w:rsidP="00C569D0">
            <w:pPr>
              <w:widowControl w:val="0"/>
              <w:jc w:val="center"/>
              <w:rPr>
                <w:color w:val="auto"/>
              </w:rPr>
            </w:pPr>
            <w:r w:rsidRPr="00C569D0">
              <w:rPr>
                <w:color w:val="auto"/>
              </w:rPr>
              <w:t>3,</w:t>
            </w:r>
            <w:r w:rsidR="00C569D0" w:rsidRPr="00C569D0">
              <w:rPr>
                <w:color w:val="auto"/>
              </w:rPr>
              <w:t>48</w:t>
            </w:r>
            <w:r w:rsidRPr="00C569D0">
              <w:rPr>
                <w:color w:val="auto"/>
              </w:rPr>
              <w:t>E-05</w:t>
            </w:r>
          </w:p>
        </w:tc>
        <w:tc>
          <w:tcPr>
            <w:tcW w:w="1089" w:type="dxa"/>
            <w:tcBorders>
              <w:top w:val="nil"/>
              <w:left w:val="nil"/>
              <w:bottom w:val="nil"/>
              <w:right w:val="single" w:sz="4" w:space="0" w:color="auto"/>
            </w:tcBorders>
            <w:shd w:val="clear" w:color="auto" w:fill="auto"/>
            <w:noWrap/>
            <w:vAlign w:val="center"/>
          </w:tcPr>
          <w:p w14:paraId="7664B085" w14:textId="777E5EA1" w:rsidR="00D42594" w:rsidRPr="00C569D0" w:rsidRDefault="00D42594" w:rsidP="00C569D0">
            <w:pPr>
              <w:widowControl w:val="0"/>
              <w:jc w:val="center"/>
              <w:rPr>
                <w:color w:val="auto"/>
              </w:rPr>
            </w:pPr>
            <w:r w:rsidRPr="00C569D0">
              <w:rPr>
                <w:color w:val="auto"/>
              </w:rPr>
              <w:t>1,</w:t>
            </w:r>
            <w:r w:rsidR="00C569D0" w:rsidRPr="00C569D0">
              <w:rPr>
                <w:color w:val="auto"/>
              </w:rPr>
              <w:t>41</w:t>
            </w:r>
            <w:r w:rsidRPr="00C569D0">
              <w:rPr>
                <w:color w:val="auto"/>
              </w:rPr>
              <w:t>E-04</w:t>
            </w:r>
          </w:p>
        </w:tc>
        <w:tc>
          <w:tcPr>
            <w:tcW w:w="1063" w:type="dxa"/>
            <w:tcBorders>
              <w:top w:val="nil"/>
              <w:left w:val="nil"/>
              <w:bottom w:val="nil"/>
              <w:right w:val="nil"/>
            </w:tcBorders>
            <w:shd w:val="clear" w:color="auto" w:fill="auto"/>
            <w:noWrap/>
            <w:vAlign w:val="center"/>
          </w:tcPr>
          <w:p w14:paraId="0FD4CCFD" w14:textId="5C2AE374" w:rsidR="00D42594" w:rsidRPr="00C569D0" w:rsidRDefault="00D42594" w:rsidP="00C569D0">
            <w:pPr>
              <w:widowControl w:val="0"/>
              <w:jc w:val="center"/>
              <w:rPr>
                <w:color w:val="auto"/>
              </w:rPr>
            </w:pPr>
            <w:r w:rsidRPr="00C569D0">
              <w:rPr>
                <w:color w:val="auto"/>
              </w:rPr>
              <w:t>2,</w:t>
            </w:r>
            <w:r w:rsidR="00C569D0" w:rsidRPr="00C569D0">
              <w:rPr>
                <w:color w:val="auto"/>
              </w:rPr>
              <w:t>88</w:t>
            </w:r>
          </w:p>
        </w:tc>
        <w:tc>
          <w:tcPr>
            <w:tcW w:w="942" w:type="dxa"/>
            <w:tcBorders>
              <w:top w:val="nil"/>
              <w:left w:val="nil"/>
              <w:bottom w:val="nil"/>
              <w:right w:val="single" w:sz="4" w:space="0" w:color="auto"/>
            </w:tcBorders>
            <w:shd w:val="clear" w:color="auto" w:fill="auto"/>
            <w:noWrap/>
            <w:vAlign w:val="center"/>
          </w:tcPr>
          <w:p w14:paraId="71C8CFDD" w14:textId="5B7A1EA2" w:rsidR="00D42594" w:rsidRPr="00C569D0" w:rsidRDefault="00D42594" w:rsidP="00C569D0">
            <w:pPr>
              <w:widowControl w:val="0"/>
              <w:jc w:val="center"/>
              <w:rPr>
                <w:color w:val="auto"/>
              </w:rPr>
            </w:pPr>
            <w:r w:rsidRPr="00C569D0">
              <w:rPr>
                <w:color w:val="auto"/>
              </w:rPr>
              <w:t>1</w:t>
            </w:r>
            <w:r w:rsidR="00C569D0" w:rsidRPr="00C569D0">
              <w:rPr>
                <w:color w:val="auto"/>
              </w:rPr>
              <w:t>0</w:t>
            </w:r>
            <w:r w:rsidRPr="00C569D0">
              <w:rPr>
                <w:color w:val="auto"/>
              </w:rPr>
              <w:t>,</w:t>
            </w:r>
            <w:r w:rsidR="00C569D0" w:rsidRPr="00C569D0">
              <w:rPr>
                <w:color w:val="auto"/>
              </w:rPr>
              <w:t>6</w:t>
            </w:r>
          </w:p>
        </w:tc>
      </w:tr>
      <w:tr w:rsidR="00D42594" w:rsidRPr="00D66167" w14:paraId="13679A7D" w14:textId="77777777" w:rsidTr="00C569D0">
        <w:trPr>
          <w:trHeight w:val="315"/>
          <w:jc w:val="center"/>
        </w:trPr>
        <w:tc>
          <w:tcPr>
            <w:tcW w:w="3210" w:type="dxa"/>
            <w:tcBorders>
              <w:top w:val="nil"/>
              <w:left w:val="single" w:sz="4" w:space="0" w:color="auto"/>
              <w:bottom w:val="single" w:sz="4" w:space="0" w:color="auto"/>
              <w:right w:val="nil"/>
            </w:tcBorders>
            <w:shd w:val="clear" w:color="auto" w:fill="B4C6E7" w:themeFill="accent1" w:themeFillTint="66"/>
            <w:noWrap/>
            <w:vAlign w:val="center"/>
          </w:tcPr>
          <w:p w14:paraId="57AD49F4" w14:textId="77777777" w:rsidR="00D42594" w:rsidRPr="00D42594" w:rsidRDefault="00D42594" w:rsidP="00D42594">
            <w:pPr>
              <w:widowControl w:val="0"/>
              <w:jc w:val="right"/>
              <w:rPr>
                <w:color w:val="auto"/>
              </w:rPr>
            </w:pPr>
            <w:r w:rsidRPr="00D42594">
              <w:rPr>
                <w:color w:val="auto"/>
              </w:rPr>
              <w:t>průmyslové lokality</w:t>
            </w:r>
          </w:p>
        </w:tc>
        <w:tc>
          <w:tcPr>
            <w:tcW w:w="1080" w:type="dxa"/>
            <w:tcBorders>
              <w:top w:val="nil"/>
              <w:left w:val="single" w:sz="4" w:space="0" w:color="auto"/>
              <w:bottom w:val="single" w:sz="4" w:space="0" w:color="auto"/>
              <w:right w:val="nil"/>
            </w:tcBorders>
            <w:shd w:val="clear" w:color="auto" w:fill="auto"/>
            <w:noWrap/>
            <w:vAlign w:val="center"/>
          </w:tcPr>
          <w:p w14:paraId="2DFAEF1B" w14:textId="3B5AB687" w:rsidR="00D42594" w:rsidRPr="00C569D0" w:rsidRDefault="00D42594" w:rsidP="00C569D0">
            <w:pPr>
              <w:widowControl w:val="0"/>
              <w:jc w:val="center"/>
              <w:rPr>
                <w:color w:val="auto"/>
              </w:rPr>
            </w:pPr>
            <w:r w:rsidRPr="00C569D0">
              <w:rPr>
                <w:color w:val="auto"/>
              </w:rPr>
              <w:t>0,4</w:t>
            </w:r>
            <w:r w:rsidR="00C569D0" w:rsidRPr="00C569D0">
              <w:rPr>
                <w:color w:val="auto"/>
              </w:rPr>
              <w:t>4</w:t>
            </w:r>
          </w:p>
        </w:tc>
        <w:tc>
          <w:tcPr>
            <w:tcW w:w="909" w:type="dxa"/>
            <w:tcBorders>
              <w:top w:val="nil"/>
              <w:left w:val="nil"/>
              <w:bottom w:val="single" w:sz="4" w:space="0" w:color="auto"/>
              <w:right w:val="nil"/>
            </w:tcBorders>
            <w:shd w:val="clear" w:color="auto" w:fill="auto"/>
            <w:noWrap/>
            <w:vAlign w:val="center"/>
          </w:tcPr>
          <w:p w14:paraId="0EB3B401" w14:textId="7D76AFF2" w:rsidR="00D42594" w:rsidRPr="00C569D0" w:rsidRDefault="00C569D0" w:rsidP="00C569D0">
            <w:pPr>
              <w:widowControl w:val="0"/>
              <w:jc w:val="center"/>
              <w:rPr>
                <w:color w:val="auto"/>
              </w:rPr>
            </w:pPr>
            <w:r w:rsidRPr="00C569D0">
              <w:rPr>
                <w:color w:val="auto"/>
              </w:rPr>
              <w:t>6</w:t>
            </w:r>
            <w:r w:rsidR="00D42594" w:rsidRPr="00C569D0">
              <w:rPr>
                <w:color w:val="auto"/>
              </w:rPr>
              <w:t>,</w:t>
            </w:r>
            <w:r w:rsidRPr="00C569D0">
              <w:rPr>
                <w:color w:val="auto"/>
              </w:rPr>
              <w:t>02</w:t>
            </w:r>
          </w:p>
        </w:tc>
        <w:tc>
          <w:tcPr>
            <w:tcW w:w="1251" w:type="dxa"/>
            <w:tcBorders>
              <w:top w:val="nil"/>
              <w:left w:val="single" w:sz="4" w:space="0" w:color="auto"/>
              <w:bottom w:val="single" w:sz="4" w:space="0" w:color="auto"/>
              <w:right w:val="nil"/>
            </w:tcBorders>
            <w:shd w:val="clear" w:color="auto" w:fill="auto"/>
            <w:noWrap/>
            <w:vAlign w:val="center"/>
          </w:tcPr>
          <w:p w14:paraId="1F0D51FF" w14:textId="622CD450" w:rsidR="00D42594" w:rsidRPr="00C569D0" w:rsidRDefault="00D42594" w:rsidP="00C569D0">
            <w:pPr>
              <w:widowControl w:val="0"/>
              <w:jc w:val="center"/>
              <w:rPr>
                <w:color w:val="auto"/>
              </w:rPr>
            </w:pPr>
            <w:r w:rsidRPr="00C569D0">
              <w:rPr>
                <w:color w:val="auto"/>
              </w:rPr>
              <w:t>3,</w:t>
            </w:r>
            <w:r w:rsidR="00C569D0" w:rsidRPr="00C569D0">
              <w:rPr>
                <w:color w:val="auto"/>
              </w:rPr>
              <w:t>83</w:t>
            </w:r>
            <w:r w:rsidRPr="00C569D0">
              <w:rPr>
                <w:color w:val="auto"/>
              </w:rPr>
              <w:t>E-05</w:t>
            </w:r>
          </w:p>
        </w:tc>
        <w:tc>
          <w:tcPr>
            <w:tcW w:w="1089" w:type="dxa"/>
            <w:tcBorders>
              <w:top w:val="nil"/>
              <w:left w:val="nil"/>
              <w:bottom w:val="single" w:sz="4" w:space="0" w:color="auto"/>
              <w:right w:val="single" w:sz="4" w:space="0" w:color="auto"/>
            </w:tcBorders>
            <w:shd w:val="clear" w:color="auto" w:fill="auto"/>
            <w:noWrap/>
            <w:vAlign w:val="center"/>
          </w:tcPr>
          <w:p w14:paraId="5D0F6FFD" w14:textId="2B22BAEC" w:rsidR="00D42594" w:rsidRPr="00C569D0" w:rsidRDefault="00C569D0" w:rsidP="00C569D0">
            <w:pPr>
              <w:widowControl w:val="0"/>
              <w:jc w:val="center"/>
              <w:rPr>
                <w:color w:val="auto"/>
              </w:rPr>
            </w:pPr>
            <w:r w:rsidRPr="00C569D0">
              <w:rPr>
                <w:color w:val="auto"/>
              </w:rPr>
              <w:t>5</w:t>
            </w:r>
            <w:r w:rsidR="00D42594" w:rsidRPr="00C569D0">
              <w:rPr>
                <w:color w:val="auto"/>
              </w:rPr>
              <w:t>,</w:t>
            </w:r>
            <w:r w:rsidRPr="00C569D0">
              <w:rPr>
                <w:color w:val="auto"/>
              </w:rPr>
              <w:t>24</w:t>
            </w:r>
            <w:r w:rsidR="00D42594" w:rsidRPr="00C569D0">
              <w:rPr>
                <w:color w:val="auto"/>
              </w:rPr>
              <w:t>E-04</w:t>
            </w:r>
          </w:p>
        </w:tc>
        <w:tc>
          <w:tcPr>
            <w:tcW w:w="1063" w:type="dxa"/>
            <w:tcBorders>
              <w:top w:val="nil"/>
              <w:left w:val="nil"/>
              <w:bottom w:val="single" w:sz="4" w:space="0" w:color="auto"/>
              <w:right w:val="nil"/>
            </w:tcBorders>
            <w:shd w:val="clear" w:color="auto" w:fill="auto"/>
            <w:noWrap/>
            <w:vAlign w:val="center"/>
          </w:tcPr>
          <w:p w14:paraId="34481A46" w14:textId="313C9C78" w:rsidR="00D42594" w:rsidRPr="00C569D0" w:rsidRDefault="00D42594" w:rsidP="00C569D0">
            <w:pPr>
              <w:widowControl w:val="0"/>
              <w:jc w:val="center"/>
              <w:rPr>
                <w:color w:val="auto"/>
              </w:rPr>
            </w:pPr>
            <w:r w:rsidRPr="00C569D0">
              <w:rPr>
                <w:color w:val="auto"/>
              </w:rPr>
              <w:t>2,</w:t>
            </w:r>
            <w:r w:rsidR="00C569D0" w:rsidRPr="00C569D0">
              <w:rPr>
                <w:color w:val="auto"/>
              </w:rPr>
              <w:t>87</w:t>
            </w:r>
          </w:p>
        </w:tc>
        <w:tc>
          <w:tcPr>
            <w:tcW w:w="942" w:type="dxa"/>
            <w:tcBorders>
              <w:top w:val="nil"/>
              <w:left w:val="nil"/>
              <w:bottom w:val="single" w:sz="4" w:space="0" w:color="auto"/>
              <w:right w:val="single" w:sz="4" w:space="0" w:color="auto"/>
            </w:tcBorders>
            <w:shd w:val="clear" w:color="auto" w:fill="auto"/>
            <w:noWrap/>
            <w:vAlign w:val="center"/>
          </w:tcPr>
          <w:p w14:paraId="4D24AF58" w14:textId="383C413C" w:rsidR="00D42594" w:rsidRPr="00C569D0" w:rsidRDefault="00C569D0" w:rsidP="00C569D0">
            <w:pPr>
              <w:widowControl w:val="0"/>
              <w:jc w:val="center"/>
              <w:rPr>
                <w:color w:val="auto"/>
              </w:rPr>
            </w:pPr>
            <w:r w:rsidRPr="00C569D0">
              <w:rPr>
                <w:color w:val="auto"/>
              </w:rPr>
              <w:t>39,3</w:t>
            </w:r>
          </w:p>
        </w:tc>
      </w:tr>
    </w:tbl>
    <w:p w14:paraId="756D2B69" w14:textId="77777777" w:rsidR="00D42594" w:rsidRDefault="00D42594" w:rsidP="00D42594">
      <w:pPr>
        <w:widowControl w:val="0"/>
        <w:jc w:val="both"/>
        <w:rPr>
          <w:i/>
          <w:color w:val="auto"/>
        </w:rPr>
      </w:pPr>
      <w:r>
        <w:rPr>
          <w:noProof/>
          <w:color w:val="FF0000"/>
          <w:sz w:val="22"/>
          <w:szCs w:val="22"/>
          <w:lang w:eastAsia="cs-CZ"/>
        </w:rPr>
        <w:drawing>
          <wp:anchor distT="0" distB="0" distL="114300" distR="114300" simplePos="0" relativeHeight="251691008" behindDoc="0" locked="0" layoutInCell="1" allowOverlap="0" wp14:anchorId="2E4A0BFF" wp14:editId="1912D065">
            <wp:simplePos x="0" y="0"/>
            <wp:positionH relativeFrom="column">
              <wp:posOffset>325755</wp:posOffset>
            </wp:positionH>
            <wp:positionV relativeFrom="page">
              <wp:posOffset>6591300</wp:posOffset>
            </wp:positionV>
            <wp:extent cx="5760000" cy="2224800"/>
            <wp:effectExtent l="0" t="0" r="0" b="4445"/>
            <wp:wrapTopAndBottom/>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00" cy="222480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Pr="00D42594">
        <w:rPr>
          <w:i/>
          <w:color w:val="auto"/>
        </w:rPr>
        <w:t>Pozn</w:t>
      </w:r>
      <w:proofErr w:type="spellEnd"/>
      <w:r w:rsidRPr="00D42594">
        <w:rPr>
          <w:i/>
          <w:color w:val="auto"/>
        </w:rPr>
        <w:t xml:space="preserve">: Maximální hodnota ročního průměru BaP v ČR 6,02 </w:t>
      </w:r>
      <w:proofErr w:type="spellStart"/>
      <w:r w:rsidRPr="00D42594">
        <w:rPr>
          <w:i/>
          <w:color w:val="auto"/>
        </w:rPr>
        <w:t>ng</w:t>
      </w:r>
      <w:proofErr w:type="spellEnd"/>
      <w:r w:rsidRPr="00D42594">
        <w:rPr>
          <w:i/>
          <w:color w:val="auto"/>
        </w:rPr>
        <w:t>/m</w:t>
      </w:r>
      <w:r w:rsidRPr="00D42594">
        <w:rPr>
          <w:i/>
          <w:color w:val="auto"/>
          <w:vertAlign w:val="superscript"/>
        </w:rPr>
        <w:t>3</w:t>
      </w:r>
      <w:r w:rsidRPr="00D42594">
        <w:rPr>
          <w:i/>
          <w:color w:val="auto"/>
        </w:rPr>
        <w:t>/rok byla naměřena na stanici TORE (Ostrava Radvanice ve vlečce průmyslového zdroje).</w:t>
      </w:r>
      <w:r>
        <w:rPr>
          <w:i/>
          <w:color w:val="auto"/>
        </w:rPr>
        <w:t xml:space="preserve"> </w:t>
      </w:r>
    </w:p>
    <w:p w14:paraId="3FDDABCA" w14:textId="18A619FB" w:rsidR="00D42594" w:rsidRPr="00D42594" w:rsidRDefault="00D42594" w:rsidP="00D42594">
      <w:pPr>
        <w:widowControl w:val="0"/>
        <w:jc w:val="both"/>
        <w:rPr>
          <w:color w:val="auto"/>
          <w:sz w:val="22"/>
          <w:szCs w:val="22"/>
        </w:rPr>
      </w:pPr>
      <w:r w:rsidRPr="00D42594">
        <w:rPr>
          <w:color w:val="auto"/>
          <w:sz w:val="22"/>
          <w:szCs w:val="22"/>
        </w:rPr>
        <w:t>Graf č. 7. Rozpětí teoretického odhadu pravděpodobnosti zvýšení počtu nádorových onemocnění z příjmu BaP z venkovního ovzduší v roce 2022 v ČR a pro jednotlivé typy městských lokalit</w:t>
      </w:r>
    </w:p>
    <w:p w14:paraId="2E1D6A3D" w14:textId="7F824EC3" w:rsidR="00D42594" w:rsidRPr="00993846" w:rsidRDefault="00D42594" w:rsidP="00D42594">
      <w:pPr>
        <w:pStyle w:val="DefaultText1"/>
        <w:spacing w:before="120" w:line="276" w:lineRule="auto"/>
        <w:jc w:val="both"/>
        <w:rPr>
          <w:rFonts w:ascii="Mulish" w:hAnsi="Mulish"/>
          <w:bCs/>
          <w:sz w:val="22"/>
          <w:szCs w:val="22"/>
        </w:rPr>
      </w:pPr>
      <w:r w:rsidRPr="00993846">
        <w:rPr>
          <w:rFonts w:ascii="Mulish" w:hAnsi="Mulish"/>
          <w:bCs/>
          <w:sz w:val="22"/>
          <w:szCs w:val="22"/>
        </w:rPr>
        <w:lastRenderedPageBreak/>
        <w:t xml:space="preserve">Roční střední hodnota z pozaďových stanic byla 0,25 </w:t>
      </w:r>
      <w:proofErr w:type="spellStart"/>
      <w:r w:rsidRPr="00993846">
        <w:rPr>
          <w:rFonts w:ascii="Mulish" w:hAnsi="Mulish"/>
          <w:bCs/>
          <w:sz w:val="22"/>
          <w:szCs w:val="22"/>
        </w:rPr>
        <w:t>ng</w:t>
      </w:r>
      <w:proofErr w:type="spellEnd"/>
      <w:r w:rsidRPr="00993846">
        <w:rPr>
          <w:rFonts w:ascii="Mulish" w:hAnsi="Mulish"/>
          <w:bCs/>
          <w:sz w:val="22"/>
          <w:szCs w:val="22"/>
        </w:rPr>
        <w:t>/m</w:t>
      </w:r>
      <w:r w:rsidRPr="00993846">
        <w:rPr>
          <w:rFonts w:ascii="Mulish" w:hAnsi="Mulish"/>
          <w:bCs/>
          <w:sz w:val="22"/>
          <w:szCs w:val="22"/>
          <w:vertAlign w:val="superscript"/>
        </w:rPr>
        <w:t>3</w:t>
      </w:r>
      <w:r w:rsidRPr="00993846">
        <w:rPr>
          <w:rFonts w:ascii="Mulish" w:hAnsi="Mulish"/>
          <w:bCs/>
          <w:sz w:val="22"/>
          <w:szCs w:val="22"/>
        </w:rPr>
        <w:t xml:space="preserve">, odhad průměrné hodnoty v obydlených a v dopravou zatížených městských oblastech je 0,84 </w:t>
      </w:r>
      <w:proofErr w:type="spellStart"/>
      <w:r w:rsidRPr="00993846">
        <w:rPr>
          <w:rFonts w:ascii="Mulish" w:hAnsi="Mulish"/>
          <w:bCs/>
          <w:sz w:val="22"/>
          <w:szCs w:val="22"/>
        </w:rPr>
        <w:t>ng</w:t>
      </w:r>
      <w:proofErr w:type="spellEnd"/>
      <w:r w:rsidRPr="00993846">
        <w:rPr>
          <w:rFonts w:ascii="Mulish" w:hAnsi="Mulish"/>
          <w:bCs/>
          <w:sz w:val="22"/>
          <w:szCs w:val="22"/>
        </w:rPr>
        <w:t>/m</w:t>
      </w:r>
      <w:r w:rsidRPr="00993846">
        <w:rPr>
          <w:rFonts w:ascii="Mulish" w:hAnsi="Mulish"/>
          <w:bCs/>
          <w:sz w:val="22"/>
          <w:szCs w:val="22"/>
          <w:vertAlign w:val="superscript"/>
        </w:rPr>
        <w:t>3</w:t>
      </w:r>
      <w:r w:rsidRPr="00993846">
        <w:rPr>
          <w:rFonts w:ascii="Mulish" w:hAnsi="Mulish"/>
          <w:bCs/>
          <w:sz w:val="22"/>
          <w:szCs w:val="22"/>
        </w:rPr>
        <w:t xml:space="preserve">. Vyšší hodnoty </w:t>
      </w:r>
      <w:r w:rsidRPr="00993846">
        <w:rPr>
          <w:rFonts w:ascii="Mulish" w:hAnsi="Mulish"/>
          <w:bCs/>
          <w:sz w:val="22"/>
          <w:szCs w:val="22"/>
        </w:rPr>
        <w:br/>
        <w:t>(</w:t>
      </w:r>
      <w:r w:rsidRPr="00993846">
        <w:rPr>
          <w:rFonts w:ascii="Mulish" w:hAnsi="Mulish"/>
          <w:bCs/>
          <w:sz w:val="22"/>
          <w:szCs w:val="22"/>
          <w:lang w:val="en-GB"/>
        </w:rPr>
        <w:t>&gt; 1 ng/m</w:t>
      </w:r>
      <w:r w:rsidRPr="00993846">
        <w:rPr>
          <w:rFonts w:ascii="Mulish" w:hAnsi="Mulish"/>
          <w:bCs/>
          <w:sz w:val="22"/>
          <w:szCs w:val="22"/>
          <w:vertAlign w:val="superscript"/>
          <w:lang w:val="en-GB"/>
        </w:rPr>
        <w:t>3</w:t>
      </w:r>
      <w:r w:rsidRPr="00993846">
        <w:rPr>
          <w:rFonts w:ascii="Mulish" w:hAnsi="Mulish"/>
          <w:bCs/>
          <w:sz w:val="22"/>
          <w:szCs w:val="22"/>
        </w:rPr>
        <w:t xml:space="preserve">) jsou dlouhodobě měřeny na průmyslových stanicích v Ostravsko-karvinské pánvi </w:t>
      </w:r>
      <w:r>
        <w:rPr>
          <w:rFonts w:ascii="Mulish" w:hAnsi="Mulish"/>
          <w:bCs/>
          <w:sz w:val="22"/>
          <w:szCs w:val="22"/>
        </w:rPr>
        <w:br/>
      </w:r>
      <w:r w:rsidRPr="00993846">
        <w:rPr>
          <w:rFonts w:ascii="Mulish" w:hAnsi="Mulish"/>
          <w:bCs/>
          <w:sz w:val="22"/>
          <w:szCs w:val="22"/>
        </w:rPr>
        <w:t xml:space="preserve">a ve vesnických a příměstských oblastech. </w:t>
      </w:r>
    </w:p>
    <w:p w14:paraId="39817AC1" w14:textId="21A9B948" w:rsidR="00D42594" w:rsidRPr="009E426D" w:rsidRDefault="00D42594" w:rsidP="00D42594">
      <w:pPr>
        <w:pStyle w:val="Odstavecseseznamem"/>
        <w:spacing w:before="120" w:line="276" w:lineRule="auto"/>
        <w:ind w:left="0"/>
        <w:jc w:val="both"/>
        <w:rPr>
          <w:rFonts w:ascii="Mulish" w:hAnsi="Mulish"/>
          <w:color w:val="000000" w:themeColor="text1"/>
          <w:sz w:val="22"/>
          <w:szCs w:val="22"/>
          <w14:shadow w14:blurRad="0" w14:dist="0" w14:dir="0" w14:sx="0" w14:sy="0" w14:kx="0" w14:ky="0" w14:algn="none">
            <w14:srgbClr w14:val="000000"/>
          </w14:shadow>
        </w:rPr>
      </w:pPr>
      <w:r>
        <w:rPr>
          <w:rFonts w:ascii="Mulish" w:hAnsi="Mulish"/>
          <w:bCs/>
          <w:color w:val="FF0000"/>
          <w:sz w:val="22"/>
          <w:szCs w:val="22"/>
        </w:rPr>
        <w:drawing>
          <wp:anchor distT="0" distB="0" distL="114300" distR="114300" simplePos="0" relativeHeight="251693056" behindDoc="0" locked="0" layoutInCell="1" allowOverlap="0" wp14:anchorId="70C11886" wp14:editId="118324FE">
            <wp:simplePos x="0" y="0"/>
            <wp:positionH relativeFrom="column">
              <wp:posOffset>137160</wp:posOffset>
            </wp:positionH>
            <wp:positionV relativeFrom="page">
              <wp:posOffset>2581275</wp:posOffset>
            </wp:positionV>
            <wp:extent cx="5759450" cy="2138045"/>
            <wp:effectExtent l="0" t="0" r="0" b="0"/>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2138045"/>
                    </a:xfrm>
                    <a:prstGeom prst="rect">
                      <a:avLst/>
                    </a:prstGeom>
                    <a:noFill/>
                  </pic:spPr>
                </pic:pic>
              </a:graphicData>
            </a:graphic>
            <wp14:sizeRelH relativeFrom="margin">
              <wp14:pctWidth>0</wp14:pctWidth>
            </wp14:sizeRelH>
            <wp14:sizeRelV relativeFrom="margin">
              <wp14:pctHeight>0</wp14:pctHeight>
            </wp14:sizeRelV>
          </wp:anchor>
        </w:drawing>
      </w:r>
      <w:r w:rsidRPr="009E426D">
        <w:rPr>
          <w:rFonts w:ascii="Mulish" w:hAnsi="Mulish"/>
          <w:color w:val="000000" w:themeColor="text1"/>
          <w:sz w:val="22"/>
          <w:szCs w:val="22"/>
          <w14:shadow w14:blurRad="0" w14:dist="0" w14:dir="0" w14:sx="0" w14:sy="0" w14:kx="0" w14:ky="0" w14:algn="none">
            <w14:srgbClr w14:val="000000"/>
          </w14:shadow>
        </w:rPr>
        <w:t xml:space="preserve">Graf č. </w:t>
      </w:r>
      <w:r>
        <w:rPr>
          <w:rFonts w:ascii="Mulish" w:hAnsi="Mulish"/>
          <w:color w:val="000000" w:themeColor="text1"/>
          <w:sz w:val="22"/>
          <w:szCs w:val="22"/>
          <w14:shadow w14:blurRad="0" w14:dist="0" w14:dir="0" w14:sx="0" w14:sy="0" w14:kx="0" w14:ky="0" w14:algn="none">
            <w14:srgbClr w14:val="000000"/>
          </w14:shadow>
        </w:rPr>
        <w:t>8</w:t>
      </w:r>
      <w:r w:rsidRPr="009E426D">
        <w:rPr>
          <w:rFonts w:ascii="Mulish" w:hAnsi="Mulish"/>
          <w:color w:val="000000" w:themeColor="text1"/>
          <w:sz w:val="22"/>
          <w:szCs w:val="22"/>
          <w14:shadow w14:blurRad="0" w14:dist="0" w14:dir="0" w14:sx="0" w14:sy="0" w14:kx="0" w14:ky="0" w14:algn="none">
            <w14:srgbClr w14:val="000000"/>
          </w14:shadow>
        </w:rPr>
        <w:t xml:space="preserve">. </w:t>
      </w:r>
      <w:r>
        <w:rPr>
          <w:rFonts w:ascii="Mulish" w:hAnsi="Mulish"/>
          <w:color w:val="000000" w:themeColor="text1"/>
          <w:sz w:val="22"/>
          <w:szCs w:val="22"/>
          <w14:shadow w14:blurRad="0" w14:dist="0" w14:dir="0" w14:sx="0" w14:sy="0" w14:kx="0" w14:ky="0" w14:algn="none">
            <w14:srgbClr w14:val="000000"/>
          </w14:shadow>
        </w:rPr>
        <w:t xml:space="preserve">2012 - </w:t>
      </w:r>
      <w:r w:rsidRPr="009E426D">
        <w:rPr>
          <w:rFonts w:ascii="Mulish" w:hAnsi="Mulish"/>
          <w:color w:val="000000" w:themeColor="text1"/>
          <w:sz w:val="22"/>
          <w:szCs w:val="22"/>
          <w14:shadow w14:blurRad="0" w14:dist="0" w14:dir="0" w14:sx="0" w14:sy="0" w14:kx="0" w14:ky="0" w14:algn="none">
            <w14:srgbClr w14:val="000000"/>
          </w14:shadow>
        </w:rPr>
        <w:t xml:space="preserve">2022 </w:t>
      </w:r>
      <w:r>
        <w:rPr>
          <w:rFonts w:ascii="Mulish" w:hAnsi="Mulish"/>
          <w:color w:val="000000" w:themeColor="text1"/>
          <w:sz w:val="22"/>
          <w:szCs w:val="22"/>
          <w14:shadow w14:blurRad="0" w14:dist="0" w14:dir="0" w14:sx="0" w14:sy="0" w14:kx="0" w14:ky="0" w14:algn="none">
            <w14:srgbClr w14:val="000000"/>
          </w14:shadow>
        </w:rPr>
        <w:t>–</w:t>
      </w:r>
      <w:r w:rsidRPr="009E426D">
        <w:rPr>
          <w:rFonts w:ascii="Mulish" w:hAnsi="Mulish"/>
          <w:color w:val="000000" w:themeColor="text1"/>
          <w:sz w:val="22"/>
          <w:szCs w:val="22"/>
          <w14:shadow w14:blurRad="0" w14:dist="0" w14:dir="0" w14:sx="0" w14:sy="0" w14:kx="0" w14:ky="0" w14:algn="none">
            <w14:srgbClr w14:val="000000"/>
          </w14:shadow>
        </w:rPr>
        <w:t xml:space="preserve"> </w:t>
      </w:r>
      <w:r>
        <w:rPr>
          <w:rFonts w:ascii="Mulish" w:hAnsi="Mulish"/>
          <w:color w:val="000000" w:themeColor="text1"/>
          <w:sz w:val="22"/>
          <w:szCs w:val="22"/>
          <w14:shadow w14:blurRad="0" w14:dist="0" w14:dir="0" w14:sx="0" w14:sy="0" w14:kx="0" w14:ky="0" w14:algn="none">
            <w14:srgbClr w14:val="000000"/>
          </w14:shadow>
        </w:rPr>
        <w:t xml:space="preserve">Průběh ročních středních hodnot </w:t>
      </w:r>
      <w:r w:rsidRPr="009E426D">
        <w:rPr>
          <w:rFonts w:ascii="Mulish" w:hAnsi="Mulish"/>
          <w:color w:val="000000" w:themeColor="text1"/>
          <w:sz w:val="22"/>
          <w:szCs w:val="22"/>
          <w14:shadow w14:blurRad="0" w14:dist="0" w14:dir="0" w14:sx="0" w14:sy="0" w14:kx="0" w14:ky="0" w14:algn="none">
            <w14:srgbClr w14:val="000000"/>
          </w14:shadow>
        </w:rPr>
        <w:t>v</w:t>
      </w:r>
      <w:r>
        <w:rPr>
          <w:rFonts w:ascii="Mulish" w:hAnsi="Mulish"/>
          <w:color w:val="000000" w:themeColor="text1"/>
          <w:sz w:val="22"/>
          <w:szCs w:val="22"/>
          <w14:shadow w14:blurRad="0" w14:dist="0" w14:dir="0" w14:sx="0" w14:sy="0" w14:kx="0" w14:ky="0" w14:algn="none">
            <w14:srgbClr w14:val="000000"/>
          </w14:shadow>
        </w:rPr>
        <w:t> </w:t>
      </w:r>
      <w:r w:rsidRPr="009E426D">
        <w:rPr>
          <w:rFonts w:ascii="Mulish" w:hAnsi="Mulish"/>
          <w:color w:val="000000" w:themeColor="text1"/>
          <w:sz w:val="22"/>
          <w:szCs w:val="22"/>
          <w14:shadow w14:blurRad="0" w14:dist="0" w14:dir="0" w14:sx="0" w14:sy="0" w14:kx="0" w14:ky="0" w14:algn="none">
            <w14:srgbClr w14:val="000000"/>
          </w14:shadow>
        </w:rPr>
        <w:t>ČR</w:t>
      </w:r>
      <w:r>
        <w:rPr>
          <w:rFonts w:ascii="Mulish" w:hAnsi="Mulish"/>
          <w:color w:val="000000" w:themeColor="text1"/>
          <w:sz w:val="22"/>
          <w:szCs w:val="22"/>
          <w14:shadow w14:blurRad="0" w14:dist="0" w14:dir="0" w14:sx="0" w14:sy="0" w14:kx="0" w14:ky="0" w14:algn="none">
            <w14:srgbClr w14:val="000000"/>
          </w14:shadow>
        </w:rPr>
        <w:t>, na pozaďových stanicích</w:t>
      </w:r>
      <w:r w:rsidRPr="009E426D">
        <w:rPr>
          <w:rFonts w:ascii="Mulish" w:hAnsi="Mulish"/>
          <w:color w:val="000000" w:themeColor="text1"/>
          <w:sz w:val="22"/>
          <w:szCs w:val="22"/>
          <w14:shadow w14:blurRad="0" w14:dist="0" w14:dir="0" w14:sx="0" w14:sy="0" w14:kx="0" w14:ky="0" w14:algn="none">
            <w14:srgbClr w14:val="000000"/>
          </w14:shadow>
        </w:rPr>
        <w:t xml:space="preserve"> </w:t>
      </w:r>
      <w:r w:rsidR="00672A19">
        <w:rPr>
          <w:rFonts w:ascii="Mulish" w:hAnsi="Mulish"/>
          <w:color w:val="000000" w:themeColor="text1"/>
          <w:sz w:val="22"/>
          <w:szCs w:val="22"/>
          <w14:shadow w14:blurRad="0" w14:dist="0" w14:dir="0" w14:sx="0" w14:sy="0" w14:kx="0" w14:ky="0" w14:algn="none">
            <w14:srgbClr w14:val="000000"/>
          </w14:shadow>
        </w:rPr>
        <w:br/>
      </w:r>
      <w:r w:rsidRPr="009E426D">
        <w:rPr>
          <w:rFonts w:ascii="Mulish" w:hAnsi="Mulish"/>
          <w:color w:val="000000" w:themeColor="text1"/>
          <w:sz w:val="22"/>
          <w:szCs w:val="22"/>
          <w14:shadow w14:blurRad="0" w14:dist="0" w14:dir="0" w14:sx="0" w14:sy="0" w14:kx="0" w14:ky="0" w14:algn="none">
            <w14:srgbClr w14:val="000000"/>
          </w14:shadow>
        </w:rPr>
        <w:t>a v jednotlivých typech městských lokalit</w:t>
      </w:r>
    </w:p>
    <w:p w14:paraId="374F1ABA" w14:textId="77777777" w:rsidR="00D42594" w:rsidRPr="00993846" w:rsidRDefault="00D42594" w:rsidP="00D42594">
      <w:pPr>
        <w:pStyle w:val="DefaultText1"/>
        <w:spacing w:before="120" w:line="276" w:lineRule="auto"/>
        <w:jc w:val="both"/>
        <w:rPr>
          <w:rFonts w:ascii="Mulish" w:hAnsi="Mulish"/>
          <w:bCs/>
          <w:sz w:val="22"/>
          <w:szCs w:val="22"/>
        </w:rPr>
      </w:pPr>
      <w:r w:rsidRPr="00993846">
        <w:rPr>
          <w:rFonts w:ascii="Mulish" w:hAnsi="Mulish"/>
          <w:bCs/>
          <w:sz w:val="22"/>
          <w:szCs w:val="22"/>
        </w:rPr>
        <w:t xml:space="preserve">Trend roční střední hodnoty za ČR lze hodnotit jako „neklesající“. Nejvýraznější víceméně setrvalý pokles je zde zřejmý u průmyslových stanic. U vesnických stanic došlo k výraznému poklesu </w:t>
      </w:r>
      <w:r>
        <w:rPr>
          <w:rFonts w:ascii="Mulish" w:hAnsi="Mulish"/>
          <w:bCs/>
          <w:sz w:val="22"/>
          <w:szCs w:val="22"/>
        </w:rPr>
        <w:br/>
      </w:r>
      <w:r w:rsidRPr="00993846">
        <w:rPr>
          <w:rFonts w:ascii="Mulish" w:hAnsi="Mulish"/>
          <w:bCs/>
          <w:sz w:val="22"/>
          <w:szCs w:val="22"/>
        </w:rPr>
        <w:t>v roce 2014, důvodem může být snížení emisí malých zdrojů v důsledku „kotlíkových dotací“. Naopak u městských stanic má odhad lineárního trendu BaP v městech ČR za posledních 10 let charakter neklesajícího lineárního trendu. Interpretovat to lze jako dlouhodobě stabilní zátěž danou zastoupením spolupůsobících zdrojů, jejíž aktuální úroveň nejvíce ovlivňují meteorologické jevy, případně režim provozu malých energetických zdrojů. Meziročně nedošlo na většině městských stanic k poklesu.</w:t>
      </w:r>
    </w:p>
    <w:p w14:paraId="36144D5C" w14:textId="15314B83" w:rsidR="00D42594" w:rsidRPr="00C569D0" w:rsidRDefault="00D42594" w:rsidP="00D42594">
      <w:pPr>
        <w:jc w:val="both"/>
        <w:rPr>
          <w:b/>
          <w:color w:val="auto"/>
          <w:sz w:val="22"/>
          <w:szCs w:val="22"/>
        </w:rPr>
      </w:pPr>
      <w:r w:rsidRPr="000C48D7">
        <w:rPr>
          <w:b/>
          <w:color w:val="auto"/>
          <w:sz w:val="22"/>
          <w:szCs w:val="22"/>
        </w:rPr>
        <w:t xml:space="preserve">Individuální karcinogenní riziko odhadované na základě potenciální expozice koncentracím PAU zastoupených BaP se v městských lokalitách pohybuje v rozmezí od cca 2 případů na 100 tisíc obyvatel do </w:t>
      </w:r>
      <w:r w:rsidR="000C48D7" w:rsidRPr="000C48D7">
        <w:rPr>
          <w:b/>
          <w:color w:val="auto"/>
          <w:sz w:val="22"/>
          <w:szCs w:val="22"/>
        </w:rPr>
        <w:t>šesti</w:t>
      </w:r>
      <w:r w:rsidRPr="000C48D7">
        <w:rPr>
          <w:b/>
          <w:color w:val="auto"/>
          <w:sz w:val="22"/>
          <w:szCs w:val="22"/>
        </w:rPr>
        <w:t xml:space="preserve"> případů na deset tisíc obyvatel za 70 let.</w:t>
      </w:r>
      <w:r w:rsidRPr="00D42594">
        <w:rPr>
          <w:b/>
          <w:color w:val="FF0000"/>
          <w:sz w:val="22"/>
          <w:szCs w:val="22"/>
        </w:rPr>
        <w:t xml:space="preserve"> </w:t>
      </w:r>
      <w:r w:rsidRPr="00C569D0">
        <w:rPr>
          <w:b/>
          <w:color w:val="auto"/>
          <w:sz w:val="22"/>
          <w:szCs w:val="22"/>
        </w:rPr>
        <w:t>Populační riziko BaP spočtené na základě odhadu střední hodnoty v sídlech v roce 202</w:t>
      </w:r>
      <w:r w:rsidR="00C569D0" w:rsidRPr="00C569D0">
        <w:rPr>
          <w:b/>
          <w:color w:val="auto"/>
          <w:sz w:val="22"/>
          <w:szCs w:val="22"/>
        </w:rPr>
        <w:t>2</w:t>
      </w:r>
      <w:r w:rsidRPr="00C569D0">
        <w:rPr>
          <w:b/>
          <w:color w:val="auto"/>
          <w:sz w:val="22"/>
          <w:szCs w:val="22"/>
        </w:rPr>
        <w:t xml:space="preserve"> </w:t>
      </w:r>
      <w:r w:rsidR="00C569D0" w:rsidRPr="00C569D0">
        <w:rPr>
          <w:b/>
          <w:color w:val="auto"/>
          <w:sz w:val="22"/>
          <w:szCs w:val="22"/>
        </w:rPr>
        <w:t xml:space="preserve">(0,84 </w:t>
      </w:r>
      <w:proofErr w:type="spellStart"/>
      <w:r w:rsidR="00C569D0" w:rsidRPr="00C569D0">
        <w:rPr>
          <w:b/>
          <w:color w:val="auto"/>
          <w:sz w:val="22"/>
          <w:szCs w:val="22"/>
        </w:rPr>
        <w:t>ng</w:t>
      </w:r>
      <w:proofErr w:type="spellEnd"/>
      <w:r w:rsidR="00C569D0" w:rsidRPr="00C569D0">
        <w:rPr>
          <w:b/>
          <w:color w:val="auto"/>
          <w:sz w:val="22"/>
          <w:szCs w:val="22"/>
        </w:rPr>
        <w:t>/m</w:t>
      </w:r>
      <w:r w:rsidR="00C569D0" w:rsidRPr="00C569D0">
        <w:rPr>
          <w:b/>
          <w:color w:val="auto"/>
          <w:sz w:val="22"/>
          <w:szCs w:val="22"/>
          <w:vertAlign w:val="superscript"/>
        </w:rPr>
        <w:t>3</w:t>
      </w:r>
      <w:r w:rsidR="00C569D0" w:rsidRPr="00C569D0">
        <w:rPr>
          <w:b/>
          <w:color w:val="auto"/>
          <w:sz w:val="22"/>
          <w:szCs w:val="22"/>
        </w:rPr>
        <w:t>)</w:t>
      </w:r>
      <w:r w:rsidR="00C569D0">
        <w:rPr>
          <w:b/>
          <w:color w:val="FF0000"/>
          <w:sz w:val="22"/>
          <w:szCs w:val="22"/>
        </w:rPr>
        <w:t xml:space="preserve"> </w:t>
      </w:r>
      <w:r w:rsidRPr="00C569D0">
        <w:rPr>
          <w:b/>
          <w:color w:val="auto"/>
          <w:sz w:val="22"/>
          <w:szCs w:val="22"/>
        </w:rPr>
        <w:t>představuje na deset a půl miliónu obyvatel ČR přibliž</w:t>
      </w:r>
      <w:r w:rsidR="00134AA1" w:rsidRPr="00C569D0">
        <w:rPr>
          <w:b/>
          <w:color w:val="auto"/>
          <w:sz w:val="22"/>
          <w:szCs w:val="22"/>
        </w:rPr>
        <w:t>ně 1</w:t>
      </w:r>
      <w:r w:rsidR="00C569D0" w:rsidRPr="00C569D0">
        <w:rPr>
          <w:b/>
          <w:color w:val="auto"/>
          <w:sz w:val="22"/>
          <w:szCs w:val="22"/>
        </w:rPr>
        <w:t>1</w:t>
      </w:r>
      <w:r w:rsidR="00134AA1" w:rsidRPr="00C569D0">
        <w:rPr>
          <w:b/>
          <w:color w:val="auto"/>
          <w:sz w:val="22"/>
          <w:szCs w:val="22"/>
        </w:rPr>
        <w:t xml:space="preserve"> přídatných případů na rok.</w:t>
      </w:r>
    </w:p>
    <w:p w14:paraId="270C57B1" w14:textId="63E00DC5" w:rsidR="005041D0" w:rsidRDefault="00D42594">
      <w:pPr>
        <w:autoSpaceDE/>
        <w:autoSpaceDN/>
        <w:adjustRightInd/>
        <w:spacing w:after="160" w:line="259" w:lineRule="auto"/>
        <w:textAlignment w:val="auto"/>
        <w:rPr>
          <w:rFonts w:eastAsia="Times New Roman" w:cs="Times New Roman"/>
          <w:b/>
          <w:bCs/>
          <w:color w:val="auto"/>
          <w:sz w:val="24"/>
          <w:szCs w:val="24"/>
          <w:lang w:eastAsia="cs-CZ"/>
        </w:rPr>
      </w:pPr>
      <w:r>
        <w:rPr>
          <w:bCs/>
          <w:sz w:val="22"/>
          <w:szCs w:val="22"/>
        </w:rPr>
        <w:br w:type="page"/>
      </w:r>
    </w:p>
    <w:p w14:paraId="4826F027" w14:textId="3B00C181" w:rsidR="00830024" w:rsidRPr="00BA0C7A" w:rsidRDefault="00830024" w:rsidP="0079316B">
      <w:pPr>
        <w:pStyle w:val="DefaultText1"/>
        <w:jc w:val="center"/>
        <w:rPr>
          <w:rFonts w:ascii="Mulish" w:hAnsi="Mulish"/>
          <w:b/>
          <w:bCs/>
        </w:rPr>
      </w:pPr>
      <w:r w:rsidRPr="00BA0C7A">
        <w:rPr>
          <w:rFonts w:ascii="Mulish" w:hAnsi="Mulish"/>
          <w:b/>
          <w:bCs/>
        </w:rPr>
        <w:lastRenderedPageBreak/>
        <w:t>Benzen (C</w:t>
      </w:r>
      <w:r w:rsidRPr="00BA0C7A">
        <w:rPr>
          <w:rFonts w:ascii="Mulish" w:hAnsi="Mulish"/>
          <w:b/>
          <w:bCs/>
          <w:vertAlign w:val="subscript"/>
        </w:rPr>
        <w:t>6</w:t>
      </w:r>
      <w:r w:rsidRPr="00BA0C7A">
        <w:rPr>
          <w:rFonts w:ascii="Mulish" w:hAnsi="Mulish"/>
          <w:b/>
          <w:bCs/>
        </w:rPr>
        <w:t>H</w:t>
      </w:r>
      <w:r w:rsidRPr="00BA0C7A">
        <w:rPr>
          <w:rFonts w:ascii="Mulish" w:hAnsi="Mulish"/>
          <w:b/>
          <w:bCs/>
          <w:vertAlign w:val="subscript"/>
        </w:rPr>
        <w:t>6</w:t>
      </w:r>
      <w:r w:rsidRPr="00BA0C7A">
        <w:rPr>
          <w:rFonts w:ascii="Mulish" w:hAnsi="Mulish"/>
          <w:b/>
          <w:bCs/>
        </w:rPr>
        <w:t>)</w:t>
      </w:r>
    </w:p>
    <w:p w14:paraId="2D70939D" w14:textId="681C6115" w:rsidR="00830024" w:rsidRPr="0079316B" w:rsidRDefault="00830024" w:rsidP="005366A5">
      <w:pPr>
        <w:pStyle w:val="DefaultText1"/>
        <w:spacing w:before="120" w:line="276" w:lineRule="auto"/>
        <w:jc w:val="both"/>
        <w:rPr>
          <w:rFonts w:ascii="Mulish" w:hAnsi="Mulish"/>
          <w:bCs/>
          <w:noProof/>
          <w:sz w:val="22"/>
          <w:szCs w:val="22"/>
        </w:rPr>
      </w:pPr>
      <w:r w:rsidRPr="0079316B">
        <w:rPr>
          <w:rFonts w:ascii="Mulish" w:hAnsi="Mulish"/>
          <w:bCs/>
          <w:noProof/>
          <w:sz w:val="22"/>
          <w:szCs w:val="22"/>
        </w:rPr>
        <w:t xml:space="preserve">Benzen má nízkou akutní toxicitu, při dlouhodobé expozici má účinky hematotoxické, genotoxické, imunotoxické a karcinogenní. Nejzávažnějším účinkem benzenu je jeho karcinogenní působení. Benzen je z hlediska klasifikace karcinogenity zařazen do skupiny 1 – prokázaný karcinogen (IARC 1987). Byly popsány nádory jater, prsu, nosní dutiny a leukémie. Přibývá studií, které uvádějí důkazy o vztahu mezi expozicí benzenu ze znečištěného ovzduší </w:t>
      </w:r>
      <w:r w:rsidR="00F37CA6">
        <w:rPr>
          <w:rFonts w:ascii="Mulish" w:hAnsi="Mulish"/>
          <w:bCs/>
          <w:noProof/>
          <w:sz w:val="22"/>
          <w:szCs w:val="22"/>
        </w:rPr>
        <w:br/>
      </w:r>
      <w:r w:rsidRPr="0079316B">
        <w:rPr>
          <w:rFonts w:ascii="Mulish" w:hAnsi="Mulish"/>
          <w:bCs/>
          <w:noProof/>
          <w:sz w:val="22"/>
          <w:szCs w:val="22"/>
        </w:rPr>
        <w:t>a vznikem akutní leukemie u dětí (IARC, 2010). Některé studie dokonce naznačují, že toto riziko by mohlo nastat již při nižších koncentracích než je současný imisní limit 5 μg/m</w:t>
      </w:r>
      <w:r w:rsidRPr="0079316B">
        <w:rPr>
          <w:rFonts w:ascii="Mulish" w:hAnsi="Mulish"/>
          <w:bCs/>
          <w:noProof/>
          <w:sz w:val="22"/>
          <w:szCs w:val="22"/>
          <w:vertAlign w:val="superscript"/>
        </w:rPr>
        <w:t>3</w:t>
      </w:r>
      <w:r w:rsidRPr="0079316B">
        <w:rPr>
          <w:rFonts w:ascii="Mulish" w:hAnsi="Mulish"/>
          <w:bCs/>
          <w:noProof/>
          <w:sz w:val="22"/>
          <w:szCs w:val="22"/>
        </w:rPr>
        <w:t xml:space="preserve"> pro benzen ve venkovním ovzduší, ale tyto studie zatím nejsou využitelné pro kvantitativní hodnocení. WHO definovalo pro benzen, na základě zhodnocení řady studií, jednotku karcinogenního rizika pro celoživotní expozici koncentraci 1 µg/m</w:t>
      </w:r>
      <w:r w:rsidRPr="0079316B">
        <w:rPr>
          <w:rFonts w:ascii="Mulish" w:hAnsi="Mulish"/>
          <w:bCs/>
          <w:noProof/>
          <w:sz w:val="22"/>
          <w:szCs w:val="22"/>
          <w:vertAlign w:val="superscript"/>
        </w:rPr>
        <w:t>3</w:t>
      </w:r>
      <w:r w:rsidRPr="0079316B">
        <w:rPr>
          <w:rFonts w:ascii="Mulish" w:hAnsi="Mulish"/>
          <w:bCs/>
          <w:noProof/>
          <w:sz w:val="22"/>
          <w:szCs w:val="22"/>
        </w:rPr>
        <w:t xml:space="preserve"> v rozmezí 4,4 - 7,5 × 10</w:t>
      </w:r>
      <w:r w:rsidRPr="0079316B">
        <w:rPr>
          <w:rFonts w:ascii="Mulish" w:hAnsi="Mulish"/>
          <w:bCs/>
          <w:noProof/>
          <w:sz w:val="22"/>
          <w:szCs w:val="22"/>
          <w:vertAlign w:val="superscript"/>
        </w:rPr>
        <w:t>-6</w:t>
      </w:r>
      <w:r w:rsidRPr="0079316B">
        <w:rPr>
          <w:rFonts w:ascii="Mulish" w:hAnsi="Mulish"/>
          <w:bCs/>
          <w:noProof/>
          <w:sz w:val="22"/>
          <w:szCs w:val="22"/>
        </w:rPr>
        <w:t xml:space="preserve"> (střední hodnota 6 × 10</w:t>
      </w:r>
      <w:r w:rsidRPr="0079316B">
        <w:rPr>
          <w:rFonts w:ascii="Mulish" w:hAnsi="Mulish"/>
          <w:bCs/>
          <w:noProof/>
          <w:sz w:val="22"/>
          <w:szCs w:val="22"/>
          <w:vertAlign w:val="superscript"/>
        </w:rPr>
        <w:t>-6</w:t>
      </w:r>
      <w:r w:rsidRPr="0079316B">
        <w:rPr>
          <w:rFonts w:ascii="Mulish" w:hAnsi="Mulish"/>
          <w:bCs/>
          <w:noProof/>
          <w:sz w:val="22"/>
          <w:szCs w:val="22"/>
        </w:rPr>
        <w:t xml:space="preserve">). </w:t>
      </w:r>
      <w:r w:rsidR="00F37CA6">
        <w:rPr>
          <w:rFonts w:ascii="Mulish" w:hAnsi="Mulish"/>
          <w:bCs/>
          <w:noProof/>
          <w:sz w:val="22"/>
          <w:szCs w:val="22"/>
        </w:rPr>
        <w:br/>
      </w:r>
      <w:r w:rsidRPr="0079316B">
        <w:rPr>
          <w:rFonts w:ascii="Mulish" w:hAnsi="Mulish"/>
          <w:bCs/>
          <w:noProof/>
          <w:sz w:val="22"/>
          <w:szCs w:val="22"/>
        </w:rPr>
        <w:t>V těchto studiích byly osoby exponovány koncentracím o několik řádů vyšším, než se mohou vyskytnout ve venkovním ovzduší. Je proto možné, že extrapolace do oblasti nižších koncentrací neodpovídá reálné křivce účinnosti. Hodnota UCR doporučená WHO je experty EU považována za horní mez odhadu rizika, dolní mez hodnoty jednotky karcinogenního rizika byla s použitím sublineární křivky extrapolace odhadnuta na 5 × 10</w:t>
      </w:r>
      <w:r w:rsidRPr="0079316B">
        <w:rPr>
          <w:rFonts w:ascii="Mulish" w:hAnsi="Mulish"/>
          <w:bCs/>
          <w:noProof/>
          <w:sz w:val="22"/>
          <w:szCs w:val="22"/>
          <w:vertAlign w:val="superscript"/>
        </w:rPr>
        <w:t>-8</w:t>
      </w:r>
      <w:r w:rsidRPr="0079316B">
        <w:rPr>
          <w:rFonts w:ascii="Mulish" w:hAnsi="Mulish"/>
          <w:bCs/>
          <w:noProof/>
          <w:sz w:val="22"/>
          <w:szCs w:val="22"/>
        </w:rPr>
        <w:t>. Tento rozsah hodnot UCR znamená, že riziko leukémie 1 x 10</w:t>
      </w:r>
      <w:r w:rsidRPr="0079316B">
        <w:rPr>
          <w:rFonts w:ascii="Mulish" w:hAnsi="Mulish"/>
          <w:bCs/>
          <w:noProof/>
          <w:sz w:val="22"/>
          <w:szCs w:val="22"/>
          <w:vertAlign w:val="superscript"/>
        </w:rPr>
        <w:t>-6</w:t>
      </w:r>
      <w:r w:rsidRPr="0079316B">
        <w:rPr>
          <w:rFonts w:ascii="Mulish" w:hAnsi="Mulish"/>
          <w:bCs/>
          <w:noProof/>
          <w:sz w:val="22"/>
          <w:szCs w:val="22"/>
        </w:rPr>
        <w:t xml:space="preserve"> by se mělo pohybovat v rozmezí roční průměrné koncentrace benzenu </w:t>
      </w:r>
      <w:r w:rsidR="00F37CA6">
        <w:rPr>
          <w:rFonts w:ascii="Mulish" w:hAnsi="Mulish"/>
          <w:bCs/>
          <w:noProof/>
          <w:sz w:val="22"/>
          <w:szCs w:val="22"/>
        </w:rPr>
        <w:br/>
      </w:r>
      <w:r w:rsidRPr="0079316B">
        <w:rPr>
          <w:rFonts w:ascii="Mulish" w:hAnsi="Mulish"/>
          <w:bCs/>
          <w:noProof/>
          <w:sz w:val="22"/>
          <w:szCs w:val="22"/>
        </w:rPr>
        <w:t>v ovzduší cca 0,2 – 20 µg/m</w:t>
      </w:r>
      <w:r w:rsidRPr="0079316B">
        <w:rPr>
          <w:rFonts w:ascii="Mulish" w:hAnsi="Mulish"/>
          <w:bCs/>
          <w:noProof/>
          <w:sz w:val="22"/>
          <w:szCs w:val="22"/>
          <w:vertAlign w:val="superscript"/>
        </w:rPr>
        <w:t>3</w:t>
      </w:r>
      <w:r w:rsidRPr="0079316B">
        <w:rPr>
          <w:rFonts w:ascii="Mulish" w:hAnsi="Mulish"/>
          <w:bCs/>
          <w:noProof/>
          <w:sz w:val="22"/>
          <w:szCs w:val="22"/>
        </w:rPr>
        <w:t xml:space="preserve">. V tomto zpracování byla použita jednotka karcinogenního rizika </w:t>
      </w:r>
      <w:r w:rsidR="00F37CA6">
        <w:rPr>
          <w:rFonts w:ascii="Mulish" w:hAnsi="Mulish"/>
          <w:bCs/>
          <w:noProof/>
          <w:sz w:val="22"/>
          <w:szCs w:val="22"/>
        </w:rPr>
        <w:br/>
      </w:r>
      <w:r w:rsidRPr="0079316B">
        <w:rPr>
          <w:rFonts w:ascii="Mulish" w:hAnsi="Mulish"/>
          <w:bCs/>
          <w:noProof/>
          <w:sz w:val="22"/>
          <w:szCs w:val="22"/>
        </w:rPr>
        <w:t>6 × 10</w:t>
      </w:r>
      <w:r w:rsidRPr="0079316B">
        <w:rPr>
          <w:rFonts w:ascii="Mulish" w:hAnsi="Mulish"/>
          <w:bCs/>
          <w:noProof/>
          <w:sz w:val="22"/>
          <w:szCs w:val="22"/>
          <w:vertAlign w:val="superscript"/>
        </w:rPr>
        <w:t>-6</w:t>
      </w:r>
      <w:r w:rsidRPr="0079316B">
        <w:rPr>
          <w:rFonts w:ascii="Mulish" w:hAnsi="Mulish"/>
          <w:bCs/>
          <w:noProof/>
          <w:sz w:val="22"/>
          <w:szCs w:val="22"/>
        </w:rPr>
        <w:t xml:space="preserve"> uváděná WHO. Při aplikaci této UCR vychází koncentrace benzenu ve vnějším ovzduší, odpovídající akceptovatelné úrovni karcinogenního rizika pro populaci 1 × 10</w:t>
      </w:r>
      <w:r w:rsidRPr="0079316B">
        <w:rPr>
          <w:rFonts w:ascii="Mulish" w:hAnsi="Mulish"/>
          <w:bCs/>
          <w:noProof/>
          <w:sz w:val="22"/>
          <w:szCs w:val="22"/>
          <w:vertAlign w:val="superscript"/>
        </w:rPr>
        <w:t>-6</w:t>
      </w:r>
      <w:r w:rsidRPr="0079316B">
        <w:rPr>
          <w:rFonts w:ascii="Mulish" w:hAnsi="Mulish"/>
          <w:bCs/>
          <w:noProof/>
          <w:sz w:val="22"/>
          <w:szCs w:val="22"/>
        </w:rPr>
        <w:t xml:space="preserve"> v úrovni koncentrace 0,17 µg/m</w:t>
      </w:r>
      <w:r w:rsidRPr="0079316B">
        <w:rPr>
          <w:rFonts w:ascii="Mulish" w:hAnsi="Mulish"/>
          <w:bCs/>
          <w:noProof/>
          <w:sz w:val="22"/>
          <w:szCs w:val="22"/>
          <w:vertAlign w:val="superscript"/>
        </w:rPr>
        <w:t>3</w:t>
      </w:r>
      <w:r w:rsidRPr="0079316B">
        <w:rPr>
          <w:rFonts w:ascii="Mulish" w:hAnsi="Mulish"/>
          <w:bCs/>
          <w:noProof/>
          <w:sz w:val="22"/>
          <w:szCs w:val="22"/>
        </w:rPr>
        <w:t>/rok.</w:t>
      </w:r>
    </w:p>
    <w:p w14:paraId="6E9A9D34" w14:textId="02290336" w:rsidR="00410E36" w:rsidRPr="00410E36" w:rsidRDefault="00410E36" w:rsidP="00410E36">
      <w:pPr>
        <w:spacing w:before="120"/>
        <w:jc w:val="both"/>
        <w:rPr>
          <w:color w:val="auto"/>
          <w:sz w:val="22"/>
          <w:szCs w:val="22"/>
        </w:rPr>
      </w:pPr>
      <w:r w:rsidRPr="00410E36">
        <w:rPr>
          <w:color w:val="auto"/>
          <w:sz w:val="22"/>
          <w:szCs w:val="22"/>
        </w:rPr>
        <w:t xml:space="preserve">Tabulka č. </w:t>
      </w:r>
      <w:r w:rsidRPr="00410E36">
        <w:rPr>
          <w:color w:val="auto"/>
          <w:sz w:val="22"/>
          <w:szCs w:val="22"/>
        </w:rPr>
        <w:fldChar w:fldCharType="begin"/>
      </w:r>
      <w:r w:rsidRPr="00410E36">
        <w:rPr>
          <w:color w:val="auto"/>
          <w:sz w:val="22"/>
          <w:szCs w:val="22"/>
        </w:rPr>
        <w:instrText xml:space="preserve"> SEQ Tabulka_č._ \* ARABIC </w:instrText>
      </w:r>
      <w:r w:rsidRPr="00410E36">
        <w:rPr>
          <w:color w:val="auto"/>
          <w:sz w:val="22"/>
          <w:szCs w:val="22"/>
        </w:rPr>
        <w:fldChar w:fldCharType="separate"/>
      </w:r>
      <w:r w:rsidR="00D30EF9">
        <w:rPr>
          <w:noProof/>
          <w:color w:val="auto"/>
          <w:sz w:val="22"/>
          <w:szCs w:val="22"/>
        </w:rPr>
        <w:t>12</w:t>
      </w:r>
      <w:r w:rsidRPr="00410E36">
        <w:rPr>
          <w:color w:val="auto"/>
          <w:sz w:val="22"/>
          <w:szCs w:val="22"/>
        </w:rPr>
        <w:fldChar w:fldCharType="end"/>
      </w:r>
      <w:r w:rsidRPr="00410E36">
        <w:rPr>
          <w:color w:val="auto"/>
          <w:sz w:val="22"/>
          <w:szCs w:val="22"/>
        </w:rPr>
        <w:t>. 2022 – roční průměry a hodnoty individuálního a populačního rizika</w:t>
      </w:r>
    </w:p>
    <w:tbl>
      <w:tblPr>
        <w:tblW w:w="9545" w:type="dxa"/>
        <w:jc w:val="center"/>
        <w:tblCellMar>
          <w:left w:w="70" w:type="dxa"/>
          <w:right w:w="70" w:type="dxa"/>
        </w:tblCellMar>
        <w:tblLook w:val="0000" w:firstRow="0" w:lastRow="0" w:firstColumn="0" w:lastColumn="0" w:noHBand="0" w:noVBand="0"/>
      </w:tblPr>
      <w:tblGrid>
        <w:gridCol w:w="3069"/>
        <w:gridCol w:w="1080"/>
        <w:gridCol w:w="909"/>
        <w:gridCol w:w="1227"/>
        <w:gridCol w:w="1113"/>
        <w:gridCol w:w="1134"/>
        <w:gridCol w:w="1013"/>
      </w:tblGrid>
      <w:tr w:rsidR="00410E36" w:rsidRPr="00D66167" w14:paraId="620E7A88" w14:textId="77777777" w:rsidTr="00160547">
        <w:trPr>
          <w:trHeight w:val="375"/>
          <w:jc w:val="center"/>
        </w:trPr>
        <w:tc>
          <w:tcPr>
            <w:tcW w:w="3069" w:type="dxa"/>
            <w:tcBorders>
              <w:top w:val="single" w:sz="4" w:space="0" w:color="auto"/>
              <w:left w:val="single" w:sz="4" w:space="0" w:color="auto"/>
              <w:bottom w:val="nil"/>
              <w:right w:val="single" w:sz="4" w:space="0" w:color="auto"/>
            </w:tcBorders>
            <w:shd w:val="clear" w:color="auto" w:fill="B4C6E7" w:themeFill="accent1" w:themeFillTint="66"/>
            <w:noWrap/>
            <w:vAlign w:val="center"/>
          </w:tcPr>
          <w:p w14:paraId="3C8DBCCA" w14:textId="77777777" w:rsidR="00410E36" w:rsidRPr="00410E36" w:rsidRDefault="00410E36" w:rsidP="00410E36">
            <w:pPr>
              <w:rPr>
                <w:color w:val="auto"/>
              </w:rPr>
            </w:pPr>
            <w:r w:rsidRPr="00410E36">
              <w:rPr>
                <w:b/>
                <w:bCs/>
                <w:color w:val="auto"/>
              </w:rPr>
              <w:t>Benzen</w:t>
            </w:r>
          </w:p>
        </w:tc>
        <w:tc>
          <w:tcPr>
            <w:tcW w:w="1989" w:type="dxa"/>
            <w:gridSpan w:val="2"/>
            <w:tcBorders>
              <w:top w:val="single" w:sz="4" w:space="0" w:color="auto"/>
              <w:left w:val="nil"/>
              <w:bottom w:val="nil"/>
              <w:right w:val="single" w:sz="4" w:space="0" w:color="000000"/>
            </w:tcBorders>
            <w:shd w:val="clear" w:color="auto" w:fill="B4C6E7" w:themeFill="accent1" w:themeFillTint="66"/>
            <w:noWrap/>
            <w:vAlign w:val="center"/>
          </w:tcPr>
          <w:p w14:paraId="2490769D" w14:textId="77777777" w:rsidR="00410E36" w:rsidRPr="00410E36" w:rsidRDefault="00410E36" w:rsidP="00410E36">
            <w:pPr>
              <w:jc w:val="center"/>
              <w:rPr>
                <w:color w:val="auto"/>
              </w:rPr>
            </w:pPr>
            <w:r w:rsidRPr="00410E36">
              <w:rPr>
                <w:color w:val="auto"/>
              </w:rPr>
              <w:t>roční průměry (µg/m</w:t>
            </w:r>
            <w:r w:rsidRPr="00410E36">
              <w:rPr>
                <w:color w:val="auto"/>
                <w:vertAlign w:val="superscript"/>
              </w:rPr>
              <w:t>3</w:t>
            </w:r>
            <w:r w:rsidRPr="00410E36">
              <w:rPr>
                <w:color w:val="auto"/>
              </w:rPr>
              <w:t>)</w:t>
            </w:r>
          </w:p>
        </w:tc>
        <w:tc>
          <w:tcPr>
            <w:tcW w:w="2340" w:type="dxa"/>
            <w:gridSpan w:val="2"/>
            <w:tcBorders>
              <w:top w:val="single" w:sz="4" w:space="0" w:color="auto"/>
              <w:left w:val="nil"/>
              <w:bottom w:val="nil"/>
              <w:right w:val="single" w:sz="4" w:space="0" w:color="000000"/>
            </w:tcBorders>
            <w:shd w:val="clear" w:color="auto" w:fill="B4C6E7" w:themeFill="accent1" w:themeFillTint="66"/>
            <w:noWrap/>
            <w:vAlign w:val="center"/>
          </w:tcPr>
          <w:p w14:paraId="552327B8" w14:textId="77777777" w:rsidR="00410E36" w:rsidRPr="00410E36" w:rsidRDefault="00410E36" w:rsidP="00410E36">
            <w:pPr>
              <w:jc w:val="center"/>
              <w:rPr>
                <w:color w:val="auto"/>
              </w:rPr>
            </w:pPr>
            <w:r w:rsidRPr="00410E36">
              <w:rPr>
                <w:color w:val="auto"/>
              </w:rPr>
              <w:t>karcinogenní riziko (ILCR)</w:t>
            </w:r>
          </w:p>
        </w:tc>
        <w:tc>
          <w:tcPr>
            <w:tcW w:w="2147" w:type="dxa"/>
            <w:gridSpan w:val="2"/>
            <w:tcBorders>
              <w:top w:val="single" w:sz="4" w:space="0" w:color="auto"/>
              <w:left w:val="nil"/>
              <w:bottom w:val="nil"/>
              <w:right w:val="single" w:sz="4" w:space="0" w:color="000000"/>
            </w:tcBorders>
            <w:shd w:val="clear" w:color="auto" w:fill="B4C6E7" w:themeFill="accent1" w:themeFillTint="66"/>
            <w:noWrap/>
            <w:vAlign w:val="center"/>
          </w:tcPr>
          <w:p w14:paraId="40B7B102" w14:textId="77777777" w:rsidR="00410E36" w:rsidRPr="00410E36" w:rsidRDefault="00410E36" w:rsidP="00410E36">
            <w:pPr>
              <w:jc w:val="center"/>
              <w:rPr>
                <w:color w:val="auto"/>
              </w:rPr>
            </w:pPr>
            <w:r w:rsidRPr="00410E36">
              <w:rPr>
                <w:color w:val="auto"/>
              </w:rPr>
              <w:t>populační riziko/70 let</w:t>
            </w:r>
          </w:p>
        </w:tc>
      </w:tr>
      <w:tr w:rsidR="00410E36" w:rsidRPr="00D66167" w14:paraId="60D2058E" w14:textId="77777777" w:rsidTr="00160547">
        <w:trPr>
          <w:trHeight w:val="315"/>
          <w:jc w:val="center"/>
        </w:trPr>
        <w:tc>
          <w:tcPr>
            <w:tcW w:w="3069" w:type="dxa"/>
            <w:tcBorders>
              <w:top w:val="nil"/>
              <w:left w:val="single" w:sz="4" w:space="0" w:color="auto"/>
              <w:bottom w:val="single" w:sz="4" w:space="0" w:color="auto"/>
              <w:right w:val="single" w:sz="4" w:space="0" w:color="auto"/>
            </w:tcBorders>
            <w:shd w:val="clear" w:color="auto" w:fill="B4C6E7" w:themeFill="accent1" w:themeFillTint="66"/>
            <w:noWrap/>
            <w:vAlign w:val="center"/>
          </w:tcPr>
          <w:p w14:paraId="607FA752" w14:textId="079905CC" w:rsidR="00410E36" w:rsidRPr="00410E36" w:rsidRDefault="00410E36" w:rsidP="00410E36">
            <w:pPr>
              <w:rPr>
                <w:color w:val="auto"/>
              </w:rPr>
            </w:pPr>
            <w:r w:rsidRPr="00410E36">
              <w:rPr>
                <w:color w:val="auto"/>
              </w:rPr>
              <w:t>2022</w:t>
            </w:r>
          </w:p>
        </w:tc>
        <w:tc>
          <w:tcPr>
            <w:tcW w:w="1080" w:type="dxa"/>
            <w:tcBorders>
              <w:top w:val="nil"/>
              <w:left w:val="nil"/>
              <w:bottom w:val="single" w:sz="4" w:space="0" w:color="auto"/>
              <w:right w:val="nil"/>
            </w:tcBorders>
            <w:shd w:val="clear" w:color="auto" w:fill="B4C6E7" w:themeFill="accent1" w:themeFillTint="66"/>
            <w:noWrap/>
            <w:vAlign w:val="center"/>
          </w:tcPr>
          <w:p w14:paraId="1C42CE8E" w14:textId="01592FAE" w:rsidR="00410E36" w:rsidRPr="00410E36" w:rsidRDefault="00672A19" w:rsidP="00672A19">
            <w:pPr>
              <w:jc w:val="center"/>
              <w:rPr>
                <w:color w:val="FF0000"/>
              </w:rPr>
            </w:pPr>
            <w:r>
              <w:rPr>
                <w:color w:val="auto"/>
              </w:rPr>
              <w:t>M</w:t>
            </w:r>
            <w:r w:rsidR="00410E36" w:rsidRPr="00410E36">
              <w:rPr>
                <w:color w:val="auto"/>
              </w:rPr>
              <w:t>in</w:t>
            </w:r>
          </w:p>
        </w:tc>
        <w:tc>
          <w:tcPr>
            <w:tcW w:w="909" w:type="dxa"/>
            <w:tcBorders>
              <w:top w:val="nil"/>
              <w:left w:val="nil"/>
              <w:bottom w:val="single" w:sz="4" w:space="0" w:color="auto"/>
              <w:right w:val="nil"/>
            </w:tcBorders>
            <w:shd w:val="clear" w:color="auto" w:fill="B4C6E7" w:themeFill="accent1" w:themeFillTint="66"/>
            <w:noWrap/>
            <w:vAlign w:val="center"/>
          </w:tcPr>
          <w:p w14:paraId="49FAE84A" w14:textId="318524AC" w:rsidR="00410E36" w:rsidRPr="00410E36" w:rsidRDefault="00672A19" w:rsidP="00410E36">
            <w:pPr>
              <w:jc w:val="center"/>
              <w:rPr>
                <w:color w:val="auto"/>
              </w:rPr>
            </w:pPr>
            <w:r>
              <w:rPr>
                <w:color w:val="auto"/>
              </w:rPr>
              <w:t>M</w:t>
            </w:r>
            <w:r w:rsidR="00410E36" w:rsidRPr="00410E36">
              <w:rPr>
                <w:color w:val="auto"/>
              </w:rPr>
              <w:t>ax</w:t>
            </w:r>
          </w:p>
        </w:tc>
        <w:tc>
          <w:tcPr>
            <w:tcW w:w="1227" w:type="dxa"/>
            <w:tcBorders>
              <w:top w:val="nil"/>
              <w:left w:val="single" w:sz="4" w:space="0" w:color="auto"/>
              <w:bottom w:val="single" w:sz="4" w:space="0" w:color="auto"/>
              <w:right w:val="nil"/>
            </w:tcBorders>
            <w:shd w:val="clear" w:color="auto" w:fill="B4C6E7" w:themeFill="accent1" w:themeFillTint="66"/>
            <w:noWrap/>
            <w:vAlign w:val="center"/>
          </w:tcPr>
          <w:p w14:paraId="39AE3C65" w14:textId="3B217B4B" w:rsidR="00410E36" w:rsidRPr="00410E36" w:rsidRDefault="00672A19" w:rsidP="00410E36">
            <w:pPr>
              <w:jc w:val="center"/>
              <w:rPr>
                <w:color w:val="auto"/>
              </w:rPr>
            </w:pPr>
            <w:r>
              <w:rPr>
                <w:color w:val="auto"/>
              </w:rPr>
              <w:t>M</w:t>
            </w:r>
            <w:r w:rsidR="00410E36" w:rsidRPr="00410E36">
              <w:rPr>
                <w:color w:val="auto"/>
              </w:rPr>
              <w:t>in</w:t>
            </w:r>
          </w:p>
        </w:tc>
        <w:tc>
          <w:tcPr>
            <w:tcW w:w="1113" w:type="dxa"/>
            <w:tcBorders>
              <w:top w:val="nil"/>
              <w:left w:val="nil"/>
              <w:bottom w:val="single" w:sz="4" w:space="0" w:color="auto"/>
              <w:right w:val="single" w:sz="4" w:space="0" w:color="auto"/>
            </w:tcBorders>
            <w:shd w:val="clear" w:color="auto" w:fill="B4C6E7" w:themeFill="accent1" w:themeFillTint="66"/>
            <w:noWrap/>
            <w:vAlign w:val="center"/>
          </w:tcPr>
          <w:p w14:paraId="6C4FBC8A" w14:textId="6F4A978F" w:rsidR="00410E36" w:rsidRPr="00410E36" w:rsidRDefault="00672A19" w:rsidP="00672A19">
            <w:pPr>
              <w:jc w:val="center"/>
              <w:rPr>
                <w:color w:val="auto"/>
              </w:rPr>
            </w:pPr>
            <w:r>
              <w:rPr>
                <w:color w:val="auto"/>
              </w:rPr>
              <w:t>M</w:t>
            </w:r>
            <w:r w:rsidR="00410E36" w:rsidRPr="00410E36">
              <w:rPr>
                <w:color w:val="auto"/>
              </w:rPr>
              <w:t>ax</w:t>
            </w:r>
          </w:p>
        </w:tc>
        <w:tc>
          <w:tcPr>
            <w:tcW w:w="1134" w:type="dxa"/>
            <w:tcBorders>
              <w:top w:val="nil"/>
              <w:left w:val="nil"/>
              <w:bottom w:val="single" w:sz="4" w:space="0" w:color="auto"/>
              <w:right w:val="nil"/>
            </w:tcBorders>
            <w:shd w:val="clear" w:color="auto" w:fill="B4C6E7" w:themeFill="accent1" w:themeFillTint="66"/>
            <w:noWrap/>
            <w:vAlign w:val="center"/>
          </w:tcPr>
          <w:p w14:paraId="4A00EFC5" w14:textId="2E367774" w:rsidR="00410E36" w:rsidRPr="00410E36" w:rsidRDefault="00672A19" w:rsidP="00672A19">
            <w:pPr>
              <w:jc w:val="center"/>
              <w:rPr>
                <w:color w:val="auto"/>
              </w:rPr>
            </w:pPr>
            <w:r>
              <w:rPr>
                <w:color w:val="auto"/>
              </w:rPr>
              <w:t>M</w:t>
            </w:r>
            <w:r w:rsidR="00410E36" w:rsidRPr="00410E36">
              <w:rPr>
                <w:color w:val="auto"/>
              </w:rPr>
              <w:t>in</w:t>
            </w:r>
          </w:p>
        </w:tc>
        <w:tc>
          <w:tcPr>
            <w:tcW w:w="1013" w:type="dxa"/>
            <w:tcBorders>
              <w:top w:val="nil"/>
              <w:left w:val="nil"/>
              <w:bottom w:val="single" w:sz="4" w:space="0" w:color="auto"/>
              <w:right w:val="single" w:sz="4" w:space="0" w:color="auto"/>
            </w:tcBorders>
            <w:shd w:val="clear" w:color="auto" w:fill="B4C6E7" w:themeFill="accent1" w:themeFillTint="66"/>
            <w:noWrap/>
            <w:vAlign w:val="center"/>
          </w:tcPr>
          <w:p w14:paraId="20FB394D" w14:textId="354CDDDF" w:rsidR="00410E36" w:rsidRPr="00410E36" w:rsidRDefault="00672A19" w:rsidP="00672A19">
            <w:pPr>
              <w:jc w:val="center"/>
              <w:rPr>
                <w:color w:val="auto"/>
              </w:rPr>
            </w:pPr>
            <w:r>
              <w:rPr>
                <w:color w:val="auto"/>
              </w:rPr>
              <w:t>M</w:t>
            </w:r>
            <w:r w:rsidR="00410E36" w:rsidRPr="00410E36">
              <w:rPr>
                <w:color w:val="auto"/>
              </w:rPr>
              <w:t>ax</w:t>
            </w:r>
          </w:p>
        </w:tc>
      </w:tr>
      <w:tr w:rsidR="00410E36" w:rsidRPr="00D66167" w14:paraId="72292D31" w14:textId="77777777" w:rsidTr="00160547">
        <w:trPr>
          <w:trHeight w:val="315"/>
          <w:jc w:val="center"/>
        </w:trPr>
        <w:tc>
          <w:tcPr>
            <w:tcW w:w="3069" w:type="dxa"/>
            <w:tcBorders>
              <w:top w:val="nil"/>
              <w:left w:val="single" w:sz="4" w:space="0" w:color="auto"/>
              <w:bottom w:val="nil"/>
              <w:right w:val="nil"/>
            </w:tcBorders>
            <w:shd w:val="clear" w:color="auto" w:fill="B4C6E7" w:themeFill="accent1" w:themeFillTint="66"/>
            <w:noWrap/>
            <w:vAlign w:val="bottom"/>
          </w:tcPr>
          <w:p w14:paraId="742BF678" w14:textId="77777777" w:rsidR="00410E36" w:rsidRPr="00410E36" w:rsidRDefault="00410E36" w:rsidP="00410E36">
            <w:pPr>
              <w:rPr>
                <w:color w:val="auto"/>
              </w:rPr>
            </w:pPr>
            <w:r w:rsidRPr="00410E36">
              <w:rPr>
                <w:color w:val="auto"/>
              </w:rPr>
              <w:t>ČR (10,5 mil. obyvatel)</w:t>
            </w:r>
          </w:p>
        </w:tc>
        <w:tc>
          <w:tcPr>
            <w:tcW w:w="1080" w:type="dxa"/>
            <w:tcBorders>
              <w:top w:val="single" w:sz="4" w:space="0" w:color="auto"/>
              <w:left w:val="single" w:sz="4" w:space="0" w:color="auto"/>
              <w:bottom w:val="nil"/>
              <w:right w:val="nil"/>
            </w:tcBorders>
            <w:shd w:val="clear" w:color="auto" w:fill="auto"/>
            <w:noWrap/>
            <w:vAlign w:val="center"/>
          </w:tcPr>
          <w:p w14:paraId="559B4A49" w14:textId="10008A88" w:rsidR="00410E36" w:rsidRPr="00C06DC0" w:rsidRDefault="00410E36" w:rsidP="00C06DC0">
            <w:pPr>
              <w:jc w:val="center"/>
              <w:rPr>
                <w:color w:val="auto"/>
              </w:rPr>
            </w:pPr>
            <w:r w:rsidRPr="00C06DC0">
              <w:rPr>
                <w:color w:val="auto"/>
              </w:rPr>
              <w:t>0,</w:t>
            </w:r>
            <w:r w:rsidR="00C06DC0" w:rsidRPr="00C06DC0">
              <w:rPr>
                <w:color w:val="auto"/>
              </w:rPr>
              <w:t>6</w:t>
            </w:r>
          </w:p>
        </w:tc>
        <w:tc>
          <w:tcPr>
            <w:tcW w:w="909" w:type="dxa"/>
            <w:tcBorders>
              <w:top w:val="single" w:sz="4" w:space="0" w:color="auto"/>
              <w:left w:val="nil"/>
              <w:bottom w:val="nil"/>
              <w:right w:val="nil"/>
            </w:tcBorders>
            <w:shd w:val="clear" w:color="auto" w:fill="auto"/>
            <w:noWrap/>
            <w:vAlign w:val="center"/>
          </w:tcPr>
          <w:p w14:paraId="417DB38D" w14:textId="0D4FC911" w:rsidR="00410E36" w:rsidRPr="00C06DC0" w:rsidRDefault="00C06DC0" w:rsidP="00C06DC0">
            <w:pPr>
              <w:jc w:val="center"/>
              <w:rPr>
                <w:color w:val="auto"/>
              </w:rPr>
            </w:pPr>
            <w:r w:rsidRPr="00C06DC0">
              <w:rPr>
                <w:color w:val="auto"/>
              </w:rPr>
              <w:t>4,6</w:t>
            </w:r>
          </w:p>
        </w:tc>
        <w:tc>
          <w:tcPr>
            <w:tcW w:w="1227" w:type="dxa"/>
            <w:tcBorders>
              <w:top w:val="single" w:sz="4" w:space="0" w:color="auto"/>
              <w:left w:val="single" w:sz="4" w:space="0" w:color="auto"/>
              <w:bottom w:val="nil"/>
              <w:right w:val="nil"/>
            </w:tcBorders>
            <w:shd w:val="clear" w:color="auto" w:fill="auto"/>
            <w:noWrap/>
            <w:vAlign w:val="center"/>
          </w:tcPr>
          <w:p w14:paraId="0E5E0AAF" w14:textId="02FCE466" w:rsidR="00410E36" w:rsidRPr="00C06DC0" w:rsidRDefault="00410E36" w:rsidP="00C06DC0">
            <w:pPr>
              <w:jc w:val="center"/>
              <w:rPr>
                <w:color w:val="auto"/>
              </w:rPr>
            </w:pPr>
            <w:r w:rsidRPr="00C06DC0">
              <w:rPr>
                <w:color w:val="auto"/>
              </w:rPr>
              <w:t>3,</w:t>
            </w:r>
            <w:r w:rsidR="00C06DC0" w:rsidRPr="00C06DC0">
              <w:rPr>
                <w:color w:val="auto"/>
              </w:rPr>
              <w:t>6</w:t>
            </w:r>
            <w:r w:rsidRPr="00C06DC0">
              <w:rPr>
                <w:color w:val="auto"/>
              </w:rPr>
              <w:t>0E-06</w:t>
            </w:r>
          </w:p>
        </w:tc>
        <w:tc>
          <w:tcPr>
            <w:tcW w:w="1113" w:type="dxa"/>
            <w:tcBorders>
              <w:top w:val="single" w:sz="4" w:space="0" w:color="auto"/>
              <w:left w:val="nil"/>
              <w:bottom w:val="nil"/>
              <w:right w:val="single" w:sz="4" w:space="0" w:color="auto"/>
            </w:tcBorders>
            <w:shd w:val="clear" w:color="auto" w:fill="auto"/>
            <w:noWrap/>
            <w:vAlign w:val="center"/>
          </w:tcPr>
          <w:p w14:paraId="48CC829D" w14:textId="3DFB034F" w:rsidR="00410E36" w:rsidRPr="00C06DC0" w:rsidRDefault="00410E36" w:rsidP="00C06DC0">
            <w:pPr>
              <w:jc w:val="center"/>
              <w:rPr>
                <w:color w:val="auto"/>
              </w:rPr>
            </w:pPr>
            <w:r w:rsidRPr="00C06DC0">
              <w:rPr>
                <w:color w:val="auto"/>
              </w:rPr>
              <w:t>2,</w:t>
            </w:r>
            <w:r w:rsidR="00C06DC0" w:rsidRPr="00C06DC0">
              <w:rPr>
                <w:color w:val="auto"/>
              </w:rPr>
              <w:t>76</w:t>
            </w:r>
            <w:r w:rsidRPr="00C06DC0">
              <w:rPr>
                <w:color w:val="auto"/>
              </w:rPr>
              <w:t>E-05</w:t>
            </w:r>
          </w:p>
        </w:tc>
        <w:tc>
          <w:tcPr>
            <w:tcW w:w="1134" w:type="dxa"/>
            <w:tcBorders>
              <w:top w:val="single" w:sz="4" w:space="0" w:color="auto"/>
              <w:left w:val="nil"/>
              <w:bottom w:val="nil"/>
              <w:right w:val="nil"/>
            </w:tcBorders>
            <w:shd w:val="clear" w:color="auto" w:fill="auto"/>
            <w:noWrap/>
            <w:vAlign w:val="center"/>
          </w:tcPr>
          <w:p w14:paraId="68BB8CDC" w14:textId="27ADAA81" w:rsidR="00410E36" w:rsidRPr="00C06DC0" w:rsidRDefault="00410E36" w:rsidP="00C06DC0">
            <w:pPr>
              <w:jc w:val="center"/>
              <w:rPr>
                <w:color w:val="auto"/>
              </w:rPr>
            </w:pPr>
            <w:r w:rsidRPr="00C06DC0">
              <w:rPr>
                <w:color w:val="auto"/>
              </w:rPr>
              <w:t>0,</w:t>
            </w:r>
            <w:r w:rsidR="00C06DC0" w:rsidRPr="00C06DC0">
              <w:rPr>
                <w:color w:val="auto"/>
              </w:rPr>
              <w:t>54</w:t>
            </w:r>
          </w:p>
        </w:tc>
        <w:tc>
          <w:tcPr>
            <w:tcW w:w="1013" w:type="dxa"/>
            <w:tcBorders>
              <w:top w:val="single" w:sz="4" w:space="0" w:color="auto"/>
              <w:left w:val="nil"/>
              <w:bottom w:val="nil"/>
              <w:right w:val="single" w:sz="4" w:space="0" w:color="auto"/>
            </w:tcBorders>
            <w:shd w:val="clear" w:color="auto" w:fill="auto"/>
            <w:noWrap/>
            <w:vAlign w:val="center"/>
          </w:tcPr>
          <w:p w14:paraId="7E17CD3A" w14:textId="39FF02FC" w:rsidR="00410E36" w:rsidRPr="00C06DC0" w:rsidRDefault="00C06DC0" w:rsidP="00C06DC0">
            <w:pPr>
              <w:jc w:val="center"/>
              <w:rPr>
                <w:color w:val="auto"/>
              </w:rPr>
            </w:pPr>
            <w:r w:rsidRPr="00C06DC0">
              <w:rPr>
                <w:color w:val="auto"/>
              </w:rPr>
              <w:t>4</w:t>
            </w:r>
            <w:r w:rsidR="00410E36" w:rsidRPr="00C06DC0">
              <w:rPr>
                <w:color w:val="auto"/>
              </w:rPr>
              <w:t>,</w:t>
            </w:r>
            <w:r w:rsidRPr="00C06DC0">
              <w:rPr>
                <w:color w:val="auto"/>
              </w:rPr>
              <w:t>14</w:t>
            </w:r>
          </w:p>
        </w:tc>
      </w:tr>
      <w:tr w:rsidR="00410E36" w:rsidRPr="00D66167" w14:paraId="694A8690" w14:textId="77777777" w:rsidTr="00160547">
        <w:trPr>
          <w:trHeight w:val="315"/>
          <w:jc w:val="center"/>
        </w:trPr>
        <w:tc>
          <w:tcPr>
            <w:tcW w:w="3069" w:type="dxa"/>
            <w:tcBorders>
              <w:top w:val="nil"/>
              <w:left w:val="single" w:sz="4" w:space="0" w:color="auto"/>
              <w:bottom w:val="nil"/>
              <w:right w:val="nil"/>
            </w:tcBorders>
            <w:shd w:val="clear" w:color="auto" w:fill="B4C6E7" w:themeFill="accent1" w:themeFillTint="66"/>
            <w:noWrap/>
            <w:vAlign w:val="bottom"/>
          </w:tcPr>
          <w:p w14:paraId="30B7AC35" w14:textId="77777777" w:rsidR="00410E36" w:rsidRPr="00410E36" w:rsidRDefault="00410E36" w:rsidP="00410E36">
            <w:pPr>
              <w:rPr>
                <w:color w:val="auto"/>
              </w:rPr>
            </w:pPr>
            <w:r w:rsidRPr="00410E36">
              <w:rPr>
                <w:color w:val="auto"/>
              </w:rPr>
              <w:t>města (nad 5 tis. – 5,2 mil. ob.)</w:t>
            </w:r>
          </w:p>
        </w:tc>
        <w:tc>
          <w:tcPr>
            <w:tcW w:w="1080" w:type="dxa"/>
            <w:tcBorders>
              <w:top w:val="nil"/>
              <w:left w:val="single" w:sz="4" w:space="0" w:color="auto"/>
              <w:bottom w:val="nil"/>
              <w:right w:val="nil"/>
            </w:tcBorders>
            <w:shd w:val="clear" w:color="auto" w:fill="auto"/>
            <w:noWrap/>
            <w:vAlign w:val="center"/>
          </w:tcPr>
          <w:p w14:paraId="11564D64" w14:textId="4A0C7352" w:rsidR="00410E36" w:rsidRPr="00C06DC0" w:rsidRDefault="00410E36" w:rsidP="00C06DC0">
            <w:pPr>
              <w:jc w:val="center"/>
              <w:rPr>
                <w:color w:val="auto"/>
              </w:rPr>
            </w:pPr>
            <w:r w:rsidRPr="00C06DC0">
              <w:rPr>
                <w:color w:val="auto"/>
              </w:rPr>
              <w:t>0,</w:t>
            </w:r>
            <w:r w:rsidR="00C06DC0" w:rsidRPr="00C06DC0">
              <w:rPr>
                <w:color w:val="auto"/>
              </w:rPr>
              <w:t>7</w:t>
            </w:r>
          </w:p>
        </w:tc>
        <w:tc>
          <w:tcPr>
            <w:tcW w:w="909" w:type="dxa"/>
            <w:tcBorders>
              <w:top w:val="nil"/>
              <w:left w:val="nil"/>
              <w:bottom w:val="nil"/>
              <w:right w:val="nil"/>
            </w:tcBorders>
            <w:shd w:val="clear" w:color="auto" w:fill="auto"/>
            <w:noWrap/>
            <w:vAlign w:val="center"/>
          </w:tcPr>
          <w:p w14:paraId="36E3AA87" w14:textId="52AB17C2" w:rsidR="00410E36" w:rsidRPr="00C06DC0" w:rsidRDefault="00C06DC0" w:rsidP="00C06DC0">
            <w:pPr>
              <w:jc w:val="center"/>
              <w:rPr>
                <w:color w:val="auto"/>
              </w:rPr>
            </w:pPr>
            <w:r w:rsidRPr="00C06DC0">
              <w:rPr>
                <w:color w:val="auto"/>
              </w:rPr>
              <w:t>4,6</w:t>
            </w:r>
          </w:p>
        </w:tc>
        <w:tc>
          <w:tcPr>
            <w:tcW w:w="1227" w:type="dxa"/>
            <w:tcBorders>
              <w:top w:val="nil"/>
              <w:left w:val="single" w:sz="4" w:space="0" w:color="auto"/>
              <w:bottom w:val="nil"/>
              <w:right w:val="nil"/>
            </w:tcBorders>
            <w:shd w:val="clear" w:color="auto" w:fill="auto"/>
            <w:noWrap/>
            <w:vAlign w:val="center"/>
          </w:tcPr>
          <w:p w14:paraId="5711D588" w14:textId="04DF61BC" w:rsidR="00410E36" w:rsidRPr="00C06DC0" w:rsidRDefault="00C06DC0" w:rsidP="00C06DC0">
            <w:pPr>
              <w:jc w:val="center"/>
              <w:rPr>
                <w:color w:val="auto"/>
              </w:rPr>
            </w:pPr>
            <w:r w:rsidRPr="00C06DC0">
              <w:rPr>
                <w:color w:val="auto"/>
              </w:rPr>
              <w:t>4</w:t>
            </w:r>
            <w:r w:rsidR="00410E36" w:rsidRPr="00C06DC0">
              <w:rPr>
                <w:color w:val="auto"/>
              </w:rPr>
              <w:t>,</w:t>
            </w:r>
            <w:r w:rsidRPr="00C06DC0">
              <w:rPr>
                <w:color w:val="auto"/>
              </w:rPr>
              <w:t>2</w:t>
            </w:r>
            <w:r w:rsidR="00410E36" w:rsidRPr="00C06DC0">
              <w:rPr>
                <w:color w:val="auto"/>
              </w:rPr>
              <w:t>0E-06</w:t>
            </w:r>
          </w:p>
        </w:tc>
        <w:tc>
          <w:tcPr>
            <w:tcW w:w="1113" w:type="dxa"/>
            <w:tcBorders>
              <w:top w:val="nil"/>
              <w:left w:val="nil"/>
              <w:bottom w:val="nil"/>
              <w:right w:val="single" w:sz="4" w:space="0" w:color="auto"/>
            </w:tcBorders>
            <w:shd w:val="clear" w:color="auto" w:fill="auto"/>
            <w:noWrap/>
            <w:vAlign w:val="center"/>
          </w:tcPr>
          <w:p w14:paraId="6239B019" w14:textId="740804EC" w:rsidR="00410E36" w:rsidRPr="00C06DC0" w:rsidRDefault="00C06DC0" w:rsidP="00C06DC0">
            <w:pPr>
              <w:jc w:val="center"/>
              <w:rPr>
                <w:color w:val="auto"/>
              </w:rPr>
            </w:pPr>
            <w:r w:rsidRPr="00C06DC0">
              <w:rPr>
                <w:color w:val="auto"/>
              </w:rPr>
              <w:t>2,76</w:t>
            </w:r>
            <w:r w:rsidR="00410E36" w:rsidRPr="00C06DC0">
              <w:rPr>
                <w:color w:val="auto"/>
              </w:rPr>
              <w:t>E-05</w:t>
            </w:r>
          </w:p>
        </w:tc>
        <w:tc>
          <w:tcPr>
            <w:tcW w:w="1134" w:type="dxa"/>
            <w:tcBorders>
              <w:top w:val="nil"/>
              <w:left w:val="nil"/>
              <w:bottom w:val="nil"/>
              <w:right w:val="nil"/>
            </w:tcBorders>
            <w:shd w:val="clear" w:color="auto" w:fill="auto"/>
            <w:noWrap/>
            <w:vAlign w:val="center"/>
          </w:tcPr>
          <w:p w14:paraId="5A25AC49" w14:textId="73BC0E8F" w:rsidR="00410E36" w:rsidRPr="00C06DC0" w:rsidRDefault="00410E36" w:rsidP="00C06DC0">
            <w:pPr>
              <w:jc w:val="center"/>
              <w:rPr>
                <w:color w:val="auto"/>
              </w:rPr>
            </w:pPr>
            <w:r w:rsidRPr="00C06DC0">
              <w:rPr>
                <w:color w:val="auto"/>
              </w:rPr>
              <w:t>0,</w:t>
            </w:r>
            <w:r w:rsidR="00C06DC0" w:rsidRPr="00C06DC0">
              <w:rPr>
                <w:color w:val="auto"/>
              </w:rPr>
              <w:t>32</w:t>
            </w:r>
          </w:p>
        </w:tc>
        <w:tc>
          <w:tcPr>
            <w:tcW w:w="1013" w:type="dxa"/>
            <w:tcBorders>
              <w:top w:val="nil"/>
              <w:left w:val="nil"/>
              <w:bottom w:val="nil"/>
              <w:right w:val="single" w:sz="4" w:space="0" w:color="auto"/>
            </w:tcBorders>
            <w:shd w:val="clear" w:color="auto" w:fill="auto"/>
            <w:noWrap/>
            <w:vAlign w:val="center"/>
          </w:tcPr>
          <w:p w14:paraId="724F5A5D" w14:textId="7416F05D" w:rsidR="00410E36" w:rsidRPr="00C06DC0" w:rsidRDefault="00C06DC0" w:rsidP="00C06DC0">
            <w:pPr>
              <w:jc w:val="center"/>
              <w:rPr>
                <w:color w:val="auto"/>
              </w:rPr>
            </w:pPr>
            <w:r w:rsidRPr="00C06DC0">
              <w:rPr>
                <w:color w:val="auto"/>
              </w:rPr>
              <w:t>2,07</w:t>
            </w:r>
          </w:p>
        </w:tc>
      </w:tr>
      <w:tr w:rsidR="00410E36" w:rsidRPr="00D66167" w14:paraId="08DC5676" w14:textId="77777777" w:rsidTr="00160547">
        <w:trPr>
          <w:trHeight w:val="315"/>
          <w:jc w:val="center"/>
        </w:trPr>
        <w:tc>
          <w:tcPr>
            <w:tcW w:w="3069" w:type="dxa"/>
            <w:tcBorders>
              <w:top w:val="nil"/>
              <w:left w:val="single" w:sz="4" w:space="0" w:color="auto"/>
              <w:bottom w:val="nil"/>
              <w:right w:val="nil"/>
            </w:tcBorders>
            <w:shd w:val="clear" w:color="auto" w:fill="B4C6E7" w:themeFill="accent1" w:themeFillTint="66"/>
            <w:noWrap/>
            <w:vAlign w:val="center"/>
          </w:tcPr>
          <w:p w14:paraId="6B1927FD" w14:textId="77777777" w:rsidR="00410E36" w:rsidRPr="00410E36" w:rsidRDefault="00410E36" w:rsidP="00410E36">
            <w:pPr>
              <w:jc w:val="right"/>
              <w:rPr>
                <w:color w:val="auto"/>
              </w:rPr>
            </w:pPr>
            <w:r w:rsidRPr="00410E36">
              <w:rPr>
                <w:color w:val="auto"/>
              </w:rPr>
              <w:t>lokality bez dopravní zátěže</w:t>
            </w:r>
          </w:p>
        </w:tc>
        <w:tc>
          <w:tcPr>
            <w:tcW w:w="1080" w:type="dxa"/>
            <w:tcBorders>
              <w:top w:val="nil"/>
              <w:left w:val="single" w:sz="4" w:space="0" w:color="auto"/>
              <w:bottom w:val="nil"/>
              <w:right w:val="nil"/>
            </w:tcBorders>
            <w:shd w:val="clear" w:color="auto" w:fill="auto"/>
            <w:noWrap/>
            <w:vAlign w:val="center"/>
          </w:tcPr>
          <w:p w14:paraId="3F200168" w14:textId="18D31CCB" w:rsidR="00410E36" w:rsidRPr="00C06DC0" w:rsidRDefault="00410E36" w:rsidP="00C06DC0">
            <w:pPr>
              <w:jc w:val="center"/>
              <w:rPr>
                <w:color w:val="auto"/>
              </w:rPr>
            </w:pPr>
            <w:r w:rsidRPr="00C06DC0">
              <w:rPr>
                <w:color w:val="auto"/>
              </w:rPr>
              <w:t>0,</w:t>
            </w:r>
            <w:r w:rsidR="00C06DC0" w:rsidRPr="00C06DC0">
              <w:rPr>
                <w:color w:val="auto"/>
              </w:rPr>
              <w:t>7</w:t>
            </w:r>
          </w:p>
        </w:tc>
        <w:tc>
          <w:tcPr>
            <w:tcW w:w="909" w:type="dxa"/>
            <w:tcBorders>
              <w:top w:val="nil"/>
              <w:left w:val="nil"/>
              <w:bottom w:val="nil"/>
              <w:right w:val="nil"/>
            </w:tcBorders>
            <w:shd w:val="clear" w:color="auto" w:fill="auto"/>
            <w:noWrap/>
            <w:vAlign w:val="center"/>
          </w:tcPr>
          <w:p w14:paraId="49E2CD38" w14:textId="77777777" w:rsidR="00410E36" w:rsidRPr="00C06DC0" w:rsidRDefault="00410E36" w:rsidP="00410E36">
            <w:pPr>
              <w:jc w:val="center"/>
              <w:rPr>
                <w:color w:val="auto"/>
              </w:rPr>
            </w:pPr>
            <w:r w:rsidRPr="00C06DC0">
              <w:rPr>
                <w:color w:val="auto"/>
              </w:rPr>
              <w:t>1,3</w:t>
            </w:r>
          </w:p>
        </w:tc>
        <w:tc>
          <w:tcPr>
            <w:tcW w:w="1227" w:type="dxa"/>
            <w:tcBorders>
              <w:top w:val="nil"/>
              <w:left w:val="single" w:sz="4" w:space="0" w:color="auto"/>
              <w:bottom w:val="nil"/>
              <w:right w:val="nil"/>
            </w:tcBorders>
            <w:shd w:val="clear" w:color="auto" w:fill="auto"/>
            <w:noWrap/>
            <w:vAlign w:val="center"/>
          </w:tcPr>
          <w:p w14:paraId="1CE7C067" w14:textId="1302D285" w:rsidR="00410E36" w:rsidRPr="00C06DC0" w:rsidRDefault="00C06DC0" w:rsidP="00410E36">
            <w:pPr>
              <w:jc w:val="center"/>
              <w:rPr>
                <w:color w:val="auto"/>
              </w:rPr>
            </w:pPr>
            <w:r w:rsidRPr="00C06DC0">
              <w:rPr>
                <w:color w:val="auto"/>
              </w:rPr>
              <w:t>4,2</w:t>
            </w:r>
            <w:r w:rsidR="00410E36" w:rsidRPr="00C06DC0">
              <w:rPr>
                <w:color w:val="auto"/>
              </w:rPr>
              <w:t>0E-06</w:t>
            </w:r>
          </w:p>
        </w:tc>
        <w:tc>
          <w:tcPr>
            <w:tcW w:w="1113" w:type="dxa"/>
            <w:tcBorders>
              <w:top w:val="nil"/>
              <w:left w:val="nil"/>
              <w:bottom w:val="nil"/>
              <w:right w:val="single" w:sz="4" w:space="0" w:color="auto"/>
            </w:tcBorders>
            <w:shd w:val="clear" w:color="auto" w:fill="auto"/>
            <w:noWrap/>
            <w:vAlign w:val="center"/>
          </w:tcPr>
          <w:p w14:paraId="01CCE7D8" w14:textId="08A4A187" w:rsidR="00410E36" w:rsidRPr="00C06DC0" w:rsidRDefault="00410E36" w:rsidP="00C06DC0">
            <w:pPr>
              <w:jc w:val="center"/>
              <w:rPr>
                <w:color w:val="auto"/>
              </w:rPr>
            </w:pPr>
            <w:r w:rsidRPr="00C06DC0">
              <w:rPr>
                <w:color w:val="auto"/>
              </w:rPr>
              <w:t>7,8</w:t>
            </w:r>
            <w:r w:rsidR="00C06DC0">
              <w:rPr>
                <w:color w:val="auto"/>
              </w:rPr>
              <w:t>0</w:t>
            </w:r>
            <w:r w:rsidRPr="00C06DC0">
              <w:rPr>
                <w:color w:val="auto"/>
              </w:rPr>
              <w:t>E-06</w:t>
            </w:r>
          </w:p>
        </w:tc>
        <w:tc>
          <w:tcPr>
            <w:tcW w:w="1134" w:type="dxa"/>
            <w:tcBorders>
              <w:top w:val="nil"/>
              <w:left w:val="nil"/>
              <w:bottom w:val="nil"/>
              <w:right w:val="nil"/>
            </w:tcBorders>
            <w:shd w:val="clear" w:color="auto" w:fill="auto"/>
            <w:noWrap/>
            <w:vAlign w:val="center"/>
          </w:tcPr>
          <w:p w14:paraId="2CE6F454" w14:textId="138B4C9E" w:rsidR="00410E36" w:rsidRPr="00C06DC0" w:rsidRDefault="00410E36" w:rsidP="00C06DC0">
            <w:pPr>
              <w:jc w:val="center"/>
              <w:rPr>
                <w:color w:val="auto"/>
              </w:rPr>
            </w:pPr>
            <w:r w:rsidRPr="00C06DC0">
              <w:rPr>
                <w:color w:val="auto"/>
              </w:rPr>
              <w:t>0,</w:t>
            </w:r>
            <w:r w:rsidR="00C06DC0" w:rsidRPr="00C06DC0">
              <w:rPr>
                <w:color w:val="auto"/>
              </w:rPr>
              <w:t>32</w:t>
            </w:r>
          </w:p>
        </w:tc>
        <w:tc>
          <w:tcPr>
            <w:tcW w:w="1013" w:type="dxa"/>
            <w:tcBorders>
              <w:top w:val="nil"/>
              <w:left w:val="nil"/>
              <w:bottom w:val="nil"/>
              <w:right w:val="single" w:sz="4" w:space="0" w:color="auto"/>
            </w:tcBorders>
            <w:shd w:val="clear" w:color="auto" w:fill="auto"/>
            <w:noWrap/>
            <w:vAlign w:val="center"/>
          </w:tcPr>
          <w:p w14:paraId="33381076" w14:textId="40371986" w:rsidR="00410E36" w:rsidRPr="00C06DC0" w:rsidRDefault="00410E36" w:rsidP="00C06DC0">
            <w:pPr>
              <w:jc w:val="center"/>
              <w:rPr>
                <w:color w:val="auto"/>
              </w:rPr>
            </w:pPr>
            <w:r w:rsidRPr="00C06DC0">
              <w:rPr>
                <w:color w:val="auto"/>
              </w:rPr>
              <w:t>0,5</w:t>
            </w:r>
            <w:r w:rsidR="00C06DC0" w:rsidRPr="00C06DC0">
              <w:rPr>
                <w:color w:val="auto"/>
              </w:rPr>
              <w:t>9</w:t>
            </w:r>
          </w:p>
        </w:tc>
      </w:tr>
      <w:tr w:rsidR="00410E36" w:rsidRPr="00D66167" w14:paraId="52815878" w14:textId="77777777" w:rsidTr="00160547">
        <w:trPr>
          <w:trHeight w:val="315"/>
          <w:jc w:val="center"/>
        </w:trPr>
        <w:tc>
          <w:tcPr>
            <w:tcW w:w="3069" w:type="dxa"/>
            <w:tcBorders>
              <w:top w:val="nil"/>
              <w:left w:val="single" w:sz="4" w:space="0" w:color="auto"/>
              <w:bottom w:val="nil"/>
              <w:right w:val="nil"/>
            </w:tcBorders>
            <w:shd w:val="clear" w:color="auto" w:fill="B4C6E7" w:themeFill="accent1" w:themeFillTint="66"/>
            <w:noWrap/>
            <w:vAlign w:val="center"/>
          </w:tcPr>
          <w:p w14:paraId="07EDAD4F" w14:textId="77777777" w:rsidR="00410E36" w:rsidRPr="00410E36" w:rsidRDefault="00410E36" w:rsidP="00410E36">
            <w:pPr>
              <w:jc w:val="right"/>
              <w:rPr>
                <w:color w:val="auto"/>
              </w:rPr>
            </w:pPr>
            <w:r w:rsidRPr="00410E36">
              <w:rPr>
                <w:color w:val="auto"/>
              </w:rPr>
              <w:t>lokality s dopravní zátěží</w:t>
            </w:r>
          </w:p>
        </w:tc>
        <w:tc>
          <w:tcPr>
            <w:tcW w:w="1080" w:type="dxa"/>
            <w:tcBorders>
              <w:top w:val="nil"/>
              <w:left w:val="single" w:sz="4" w:space="0" w:color="auto"/>
              <w:bottom w:val="nil"/>
              <w:right w:val="nil"/>
            </w:tcBorders>
            <w:shd w:val="clear" w:color="auto" w:fill="auto"/>
            <w:noWrap/>
            <w:vAlign w:val="center"/>
          </w:tcPr>
          <w:p w14:paraId="441E6B44" w14:textId="176D64F6" w:rsidR="00410E36" w:rsidRPr="00C06DC0" w:rsidRDefault="00C06DC0" w:rsidP="00C06DC0">
            <w:pPr>
              <w:jc w:val="center"/>
              <w:rPr>
                <w:color w:val="auto"/>
              </w:rPr>
            </w:pPr>
            <w:r w:rsidRPr="00C06DC0">
              <w:rPr>
                <w:color w:val="auto"/>
              </w:rPr>
              <w:t>1</w:t>
            </w:r>
            <w:r w:rsidR="00410E36" w:rsidRPr="00C06DC0">
              <w:rPr>
                <w:color w:val="auto"/>
              </w:rPr>
              <w:t>,</w:t>
            </w:r>
            <w:r w:rsidRPr="00C06DC0">
              <w:rPr>
                <w:color w:val="auto"/>
              </w:rPr>
              <w:t>0</w:t>
            </w:r>
          </w:p>
        </w:tc>
        <w:tc>
          <w:tcPr>
            <w:tcW w:w="909" w:type="dxa"/>
            <w:tcBorders>
              <w:top w:val="nil"/>
              <w:left w:val="nil"/>
              <w:bottom w:val="nil"/>
              <w:right w:val="nil"/>
            </w:tcBorders>
            <w:shd w:val="clear" w:color="auto" w:fill="auto"/>
            <w:noWrap/>
            <w:vAlign w:val="center"/>
          </w:tcPr>
          <w:p w14:paraId="5E05F90D" w14:textId="420D6BBF" w:rsidR="00410E36" w:rsidRPr="00C06DC0" w:rsidRDefault="00C06DC0" w:rsidP="00C06DC0">
            <w:pPr>
              <w:jc w:val="center"/>
              <w:rPr>
                <w:color w:val="auto"/>
              </w:rPr>
            </w:pPr>
            <w:r w:rsidRPr="00C06DC0">
              <w:rPr>
                <w:color w:val="auto"/>
              </w:rPr>
              <w:t>1</w:t>
            </w:r>
            <w:r w:rsidR="00410E36" w:rsidRPr="00C06DC0">
              <w:rPr>
                <w:color w:val="auto"/>
              </w:rPr>
              <w:t>,</w:t>
            </w:r>
            <w:r w:rsidRPr="00C06DC0">
              <w:rPr>
                <w:color w:val="auto"/>
              </w:rPr>
              <w:t>6</w:t>
            </w:r>
          </w:p>
        </w:tc>
        <w:tc>
          <w:tcPr>
            <w:tcW w:w="1227" w:type="dxa"/>
            <w:tcBorders>
              <w:top w:val="nil"/>
              <w:left w:val="single" w:sz="4" w:space="0" w:color="auto"/>
              <w:bottom w:val="nil"/>
              <w:right w:val="nil"/>
            </w:tcBorders>
            <w:shd w:val="clear" w:color="auto" w:fill="auto"/>
            <w:noWrap/>
            <w:vAlign w:val="center"/>
          </w:tcPr>
          <w:p w14:paraId="26305066" w14:textId="4A19500D" w:rsidR="00410E36" w:rsidRPr="00C06DC0" w:rsidRDefault="00C06DC0" w:rsidP="00C06DC0">
            <w:pPr>
              <w:jc w:val="center"/>
              <w:rPr>
                <w:color w:val="auto"/>
              </w:rPr>
            </w:pPr>
            <w:r w:rsidRPr="00C06DC0">
              <w:rPr>
                <w:color w:val="auto"/>
              </w:rPr>
              <w:t>6</w:t>
            </w:r>
            <w:r w:rsidR="00410E36" w:rsidRPr="00C06DC0">
              <w:rPr>
                <w:color w:val="auto"/>
              </w:rPr>
              <w:t>,</w:t>
            </w:r>
            <w:r w:rsidRPr="00C06DC0">
              <w:rPr>
                <w:color w:val="auto"/>
              </w:rPr>
              <w:t>0</w:t>
            </w:r>
            <w:r w:rsidR="00410E36" w:rsidRPr="00C06DC0">
              <w:rPr>
                <w:color w:val="auto"/>
              </w:rPr>
              <w:t>0E-06</w:t>
            </w:r>
          </w:p>
        </w:tc>
        <w:tc>
          <w:tcPr>
            <w:tcW w:w="1113" w:type="dxa"/>
            <w:tcBorders>
              <w:top w:val="nil"/>
              <w:left w:val="nil"/>
              <w:bottom w:val="nil"/>
              <w:right w:val="single" w:sz="4" w:space="0" w:color="auto"/>
            </w:tcBorders>
            <w:shd w:val="clear" w:color="auto" w:fill="auto"/>
            <w:noWrap/>
            <w:vAlign w:val="center"/>
          </w:tcPr>
          <w:p w14:paraId="26892961" w14:textId="2ED56095" w:rsidR="00410E36" w:rsidRPr="00C06DC0" w:rsidRDefault="00C06DC0" w:rsidP="00C06DC0">
            <w:pPr>
              <w:jc w:val="center"/>
              <w:rPr>
                <w:color w:val="auto"/>
              </w:rPr>
            </w:pPr>
            <w:r w:rsidRPr="00C06DC0">
              <w:rPr>
                <w:color w:val="auto"/>
              </w:rPr>
              <w:t>9</w:t>
            </w:r>
            <w:r w:rsidR="00410E36" w:rsidRPr="00C06DC0">
              <w:rPr>
                <w:color w:val="auto"/>
              </w:rPr>
              <w:t>,6</w:t>
            </w:r>
            <w:r w:rsidRPr="00C06DC0">
              <w:rPr>
                <w:color w:val="auto"/>
              </w:rPr>
              <w:t>0</w:t>
            </w:r>
            <w:r w:rsidR="00410E36" w:rsidRPr="00C06DC0">
              <w:rPr>
                <w:color w:val="auto"/>
              </w:rPr>
              <w:t>E-05</w:t>
            </w:r>
          </w:p>
        </w:tc>
        <w:tc>
          <w:tcPr>
            <w:tcW w:w="1134" w:type="dxa"/>
            <w:tcBorders>
              <w:top w:val="nil"/>
              <w:left w:val="nil"/>
              <w:bottom w:val="nil"/>
              <w:right w:val="nil"/>
            </w:tcBorders>
            <w:shd w:val="clear" w:color="auto" w:fill="auto"/>
            <w:noWrap/>
            <w:vAlign w:val="center"/>
          </w:tcPr>
          <w:p w14:paraId="77053D49" w14:textId="1E38C569" w:rsidR="00410E36" w:rsidRPr="00C06DC0" w:rsidRDefault="00410E36" w:rsidP="00C06DC0">
            <w:pPr>
              <w:jc w:val="center"/>
              <w:rPr>
                <w:color w:val="auto"/>
              </w:rPr>
            </w:pPr>
            <w:r w:rsidRPr="00C06DC0">
              <w:rPr>
                <w:color w:val="auto"/>
              </w:rPr>
              <w:t>0,</w:t>
            </w:r>
            <w:r w:rsidR="00C06DC0" w:rsidRPr="00C06DC0">
              <w:rPr>
                <w:color w:val="auto"/>
              </w:rPr>
              <w:t>45</w:t>
            </w:r>
          </w:p>
        </w:tc>
        <w:tc>
          <w:tcPr>
            <w:tcW w:w="1013" w:type="dxa"/>
            <w:tcBorders>
              <w:top w:val="nil"/>
              <w:left w:val="nil"/>
              <w:bottom w:val="nil"/>
              <w:right w:val="single" w:sz="4" w:space="0" w:color="auto"/>
            </w:tcBorders>
            <w:shd w:val="clear" w:color="auto" w:fill="auto"/>
            <w:noWrap/>
            <w:vAlign w:val="center"/>
          </w:tcPr>
          <w:p w14:paraId="1F0D0B90" w14:textId="0F89F3CB" w:rsidR="00410E36" w:rsidRPr="00C06DC0" w:rsidRDefault="00410E36" w:rsidP="00C06DC0">
            <w:pPr>
              <w:jc w:val="center"/>
              <w:rPr>
                <w:color w:val="auto"/>
              </w:rPr>
            </w:pPr>
            <w:r w:rsidRPr="00C06DC0">
              <w:rPr>
                <w:color w:val="auto"/>
              </w:rPr>
              <w:t>0,</w:t>
            </w:r>
            <w:r w:rsidR="00C06DC0" w:rsidRPr="00C06DC0">
              <w:rPr>
                <w:color w:val="auto"/>
              </w:rPr>
              <w:t>72</w:t>
            </w:r>
          </w:p>
        </w:tc>
      </w:tr>
      <w:tr w:rsidR="00410E36" w:rsidRPr="00D66167" w14:paraId="6CF091C0" w14:textId="77777777" w:rsidTr="00160547">
        <w:trPr>
          <w:trHeight w:val="315"/>
          <w:jc w:val="center"/>
        </w:trPr>
        <w:tc>
          <w:tcPr>
            <w:tcW w:w="3069" w:type="dxa"/>
            <w:tcBorders>
              <w:top w:val="nil"/>
              <w:left w:val="single" w:sz="4" w:space="0" w:color="auto"/>
              <w:bottom w:val="single" w:sz="4" w:space="0" w:color="auto"/>
              <w:right w:val="nil"/>
            </w:tcBorders>
            <w:shd w:val="clear" w:color="auto" w:fill="B4C6E7" w:themeFill="accent1" w:themeFillTint="66"/>
            <w:noWrap/>
            <w:vAlign w:val="center"/>
          </w:tcPr>
          <w:p w14:paraId="472BE689" w14:textId="77777777" w:rsidR="00410E36" w:rsidRPr="00410E36" w:rsidRDefault="00410E36" w:rsidP="00410E36">
            <w:pPr>
              <w:jc w:val="right"/>
              <w:rPr>
                <w:color w:val="auto"/>
              </w:rPr>
            </w:pPr>
            <w:r w:rsidRPr="00410E36">
              <w:rPr>
                <w:color w:val="auto"/>
              </w:rPr>
              <w:t>průmyslové lokality</w:t>
            </w:r>
          </w:p>
        </w:tc>
        <w:tc>
          <w:tcPr>
            <w:tcW w:w="1080" w:type="dxa"/>
            <w:tcBorders>
              <w:top w:val="nil"/>
              <w:left w:val="single" w:sz="4" w:space="0" w:color="auto"/>
              <w:bottom w:val="single" w:sz="4" w:space="0" w:color="auto"/>
              <w:right w:val="nil"/>
            </w:tcBorders>
            <w:shd w:val="clear" w:color="auto" w:fill="auto"/>
            <w:noWrap/>
            <w:vAlign w:val="center"/>
          </w:tcPr>
          <w:p w14:paraId="7A37E1AB" w14:textId="3CC21FD5" w:rsidR="00410E36" w:rsidRPr="00C06DC0" w:rsidRDefault="00410E36" w:rsidP="00C06DC0">
            <w:pPr>
              <w:jc w:val="center"/>
              <w:rPr>
                <w:color w:val="auto"/>
              </w:rPr>
            </w:pPr>
            <w:r w:rsidRPr="00C06DC0">
              <w:rPr>
                <w:color w:val="auto"/>
              </w:rPr>
              <w:t>0,</w:t>
            </w:r>
            <w:r w:rsidR="00C06DC0" w:rsidRPr="00C06DC0">
              <w:rPr>
                <w:color w:val="auto"/>
              </w:rPr>
              <w:t>8</w:t>
            </w:r>
          </w:p>
        </w:tc>
        <w:tc>
          <w:tcPr>
            <w:tcW w:w="909" w:type="dxa"/>
            <w:tcBorders>
              <w:top w:val="nil"/>
              <w:left w:val="nil"/>
              <w:bottom w:val="single" w:sz="4" w:space="0" w:color="auto"/>
              <w:right w:val="nil"/>
            </w:tcBorders>
            <w:shd w:val="clear" w:color="auto" w:fill="auto"/>
            <w:noWrap/>
            <w:vAlign w:val="center"/>
          </w:tcPr>
          <w:p w14:paraId="4CD95D66" w14:textId="454B4FDD" w:rsidR="00410E36" w:rsidRPr="00C06DC0" w:rsidRDefault="00C06DC0" w:rsidP="00C06DC0">
            <w:pPr>
              <w:jc w:val="center"/>
              <w:rPr>
                <w:color w:val="auto"/>
              </w:rPr>
            </w:pPr>
            <w:r w:rsidRPr="00C06DC0">
              <w:rPr>
                <w:color w:val="auto"/>
              </w:rPr>
              <w:t>4</w:t>
            </w:r>
            <w:r w:rsidR="00410E36" w:rsidRPr="00C06DC0">
              <w:rPr>
                <w:color w:val="auto"/>
              </w:rPr>
              <w:t>,</w:t>
            </w:r>
            <w:r w:rsidRPr="00C06DC0">
              <w:rPr>
                <w:color w:val="auto"/>
              </w:rPr>
              <w:t>6</w:t>
            </w:r>
          </w:p>
        </w:tc>
        <w:tc>
          <w:tcPr>
            <w:tcW w:w="1227" w:type="dxa"/>
            <w:tcBorders>
              <w:top w:val="nil"/>
              <w:left w:val="single" w:sz="4" w:space="0" w:color="auto"/>
              <w:bottom w:val="single" w:sz="4" w:space="0" w:color="auto"/>
              <w:right w:val="nil"/>
            </w:tcBorders>
            <w:shd w:val="clear" w:color="auto" w:fill="auto"/>
            <w:noWrap/>
            <w:vAlign w:val="center"/>
          </w:tcPr>
          <w:p w14:paraId="49E0EAB2" w14:textId="40D7B2FC" w:rsidR="00410E36" w:rsidRPr="00C06DC0" w:rsidRDefault="00410E36" w:rsidP="00C06DC0">
            <w:pPr>
              <w:jc w:val="center"/>
              <w:rPr>
                <w:color w:val="auto"/>
              </w:rPr>
            </w:pPr>
            <w:r w:rsidRPr="00C06DC0">
              <w:rPr>
                <w:color w:val="auto"/>
              </w:rPr>
              <w:t>4,</w:t>
            </w:r>
            <w:r w:rsidR="00C06DC0" w:rsidRPr="00C06DC0">
              <w:rPr>
                <w:color w:val="auto"/>
              </w:rPr>
              <w:t>8</w:t>
            </w:r>
            <w:r w:rsidRPr="00C06DC0">
              <w:rPr>
                <w:color w:val="auto"/>
              </w:rPr>
              <w:t>0E-06</w:t>
            </w:r>
          </w:p>
        </w:tc>
        <w:tc>
          <w:tcPr>
            <w:tcW w:w="1113" w:type="dxa"/>
            <w:tcBorders>
              <w:top w:val="nil"/>
              <w:left w:val="nil"/>
              <w:bottom w:val="single" w:sz="4" w:space="0" w:color="auto"/>
              <w:right w:val="single" w:sz="4" w:space="0" w:color="auto"/>
            </w:tcBorders>
            <w:shd w:val="clear" w:color="auto" w:fill="auto"/>
            <w:noWrap/>
            <w:vAlign w:val="center"/>
          </w:tcPr>
          <w:p w14:paraId="549883EE" w14:textId="71C8535F" w:rsidR="00410E36" w:rsidRPr="00C06DC0" w:rsidRDefault="00410E36" w:rsidP="00C06DC0">
            <w:pPr>
              <w:jc w:val="center"/>
              <w:rPr>
                <w:color w:val="auto"/>
              </w:rPr>
            </w:pPr>
            <w:r w:rsidRPr="00C06DC0">
              <w:rPr>
                <w:color w:val="auto"/>
              </w:rPr>
              <w:t>2,</w:t>
            </w:r>
            <w:r w:rsidR="00C06DC0" w:rsidRPr="00C06DC0">
              <w:rPr>
                <w:color w:val="auto"/>
              </w:rPr>
              <w:t>76</w:t>
            </w:r>
            <w:r w:rsidRPr="00C06DC0">
              <w:rPr>
                <w:color w:val="auto"/>
              </w:rPr>
              <w:t>E-05</w:t>
            </w:r>
          </w:p>
        </w:tc>
        <w:tc>
          <w:tcPr>
            <w:tcW w:w="1134" w:type="dxa"/>
            <w:tcBorders>
              <w:top w:val="nil"/>
              <w:left w:val="nil"/>
              <w:bottom w:val="single" w:sz="4" w:space="0" w:color="auto"/>
              <w:right w:val="nil"/>
            </w:tcBorders>
            <w:shd w:val="clear" w:color="auto" w:fill="auto"/>
            <w:noWrap/>
            <w:vAlign w:val="center"/>
          </w:tcPr>
          <w:p w14:paraId="7A0A366C" w14:textId="25C7A933" w:rsidR="00410E36" w:rsidRPr="00C06DC0" w:rsidRDefault="00410E36" w:rsidP="00C06DC0">
            <w:pPr>
              <w:jc w:val="center"/>
              <w:rPr>
                <w:color w:val="auto"/>
              </w:rPr>
            </w:pPr>
            <w:r w:rsidRPr="00C06DC0">
              <w:rPr>
                <w:color w:val="auto"/>
              </w:rPr>
              <w:t>0,3</w:t>
            </w:r>
            <w:r w:rsidR="00C06DC0" w:rsidRPr="00C06DC0">
              <w:rPr>
                <w:color w:val="auto"/>
              </w:rPr>
              <w:t>6</w:t>
            </w:r>
          </w:p>
        </w:tc>
        <w:tc>
          <w:tcPr>
            <w:tcW w:w="1013" w:type="dxa"/>
            <w:tcBorders>
              <w:top w:val="nil"/>
              <w:left w:val="nil"/>
              <w:bottom w:val="single" w:sz="4" w:space="0" w:color="auto"/>
              <w:right w:val="single" w:sz="4" w:space="0" w:color="auto"/>
            </w:tcBorders>
            <w:shd w:val="clear" w:color="auto" w:fill="auto"/>
            <w:noWrap/>
            <w:vAlign w:val="center"/>
          </w:tcPr>
          <w:p w14:paraId="74D6BBD3" w14:textId="263B718B" w:rsidR="00410E36" w:rsidRPr="00C06DC0" w:rsidRDefault="00C06DC0" w:rsidP="00C06DC0">
            <w:pPr>
              <w:jc w:val="center"/>
              <w:rPr>
                <w:color w:val="auto"/>
              </w:rPr>
            </w:pPr>
            <w:r w:rsidRPr="00C06DC0">
              <w:rPr>
                <w:color w:val="auto"/>
              </w:rPr>
              <w:t>2</w:t>
            </w:r>
            <w:r w:rsidR="00410E36" w:rsidRPr="00C06DC0">
              <w:rPr>
                <w:color w:val="auto"/>
              </w:rPr>
              <w:t>,</w:t>
            </w:r>
            <w:r w:rsidRPr="00C06DC0">
              <w:rPr>
                <w:color w:val="auto"/>
              </w:rPr>
              <w:t>07</w:t>
            </w:r>
          </w:p>
        </w:tc>
      </w:tr>
    </w:tbl>
    <w:p w14:paraId="64145594" w14:textId="46FBB927" w:rsidR="00410E36" w:rsidRPr="00BA0C7A" w:rsidRDefault="00410E36" w:rsidP="00410E36">
      <w:pPr>
        <w:jc w:val="both"/>
        <w:rPr>
          <w:i/>
          <w:color w:val="auto"/>
          <w:sz w:val="22"/>
          <w:szCs w:val="22"/>
        </w:rPr>
      </w:pPr>
      <w:proofErr w:type="spellStart"/>
      <w:r w:rsidRPr="00BA0C7A">
        <w:rPr>
          <w:i/>
          <w:color w:val="auto"/>
          <w:sz w:val="22"/>
          <w:szCs w:val="22"/>
        </w:rPr>
        <w:t>Pozn</w:t>
      </w:r>
      <w:proofErr w:type="spellEnd"/>
      <w:r w:rsidRPr="00BA0C7A">
        <w:rPr>
          <w:i/>
          <w:color w:val="auto"/>
          <w:sz w:val="22"/>
          <w:szCs w:val="22"/>
        </w:rPr>
        <w:t xml:space="preserve">: Maximální hodnota v ČR byla naměřena na stanici TOPR (Přívoz v Ostravě)  - </w:t>
      </w:r>
      <w:r w:rsidR="00BA0C7A" w:rsidRPr="00BA0C7A">
        <w:rPr>
          <w:i/>
          <w:color w:val="auto"/>
          <w:sz w:val="22"/>
          <w:szCs w:val="22"/>
        </w:rPr>
        <w:t>4,6</w:t>
      </w:r>
      <w:r w:rsidRPr="00BA0C7A">
        <w:rPr>
          <w:i/>
          <w:color w:val="auto"/>
          <w:sz w:val="22"/>
          <w:szCs w:val="22"/>
        </w:rPr>
        <w:t xml:space="preserve"> µg/m</w:t>
      </w:r>
      <w:r w:rsidRPr="00BA0C7A">
        <w:rPr>
          <w:i/>
          <w:color w:val="auto"/>
          <w:sz w:val="22"/>
          <w:szCs w:val="22"/>
          <w:vertAlign w:val="superscript"/>
        </w:rPr>
        <w:t>3</w:t>
      </w:r>
      <w:r w:rsidRPr="00BA0C7A">
        <w:rPr>
          <w:i/>
          <w:color w:val="auto"/>
          <w:sz w:val="22"/>
          <w:szCs w:val="22"/>
        </w:rPr>
        <w:t>/rok.</w:t>
      </w:r>
    </w:p>
    <w:p w14:paraId="034A97AB" w14:textId="77777777" w:rsidR="00BA0C7A" w:rsidRDefault="00BA0C7A" w:rsidP="00410E36">
      <w:pPr>
        <w:spacing w:before="120"/>
        <w:jc w:val="both"/>
      </w:pPr>
    </w:p>
    <w:p w14:paraId="7562784D" w14:textId="77777777" w:rsidR="00BA0C7A" w:rsidRDefault="00BA0C7A" w:rsidP="00410E36">
      <w:pPr>
        <w:spacing w:before="120"/>
        <w:jc w:val="both"/>
      </w:pPr>
    </w:p>
    <w:p w14:paraId="1FE173D4" w14:textId="77777777" w:rsidR="001E1321" w:rsidRDefault="001E1321" w:rsidP="00410E36">
      <w:pPr>
        <w:spacing w:before="120"/>
        <w:jc w:val="both"/>
        <w:rPr>
          <w:color w:val="auto"/>
          <w:sz w:val="22"/>
          <w:szCs w:val="22"/>
        </w:rPr>
      </w:pPr>
    </w:p>
    <w:p w14:paraId="7B23FF14" w14:textId="777D6039" w:rsidR="00410E36" w:rsidRPr="00410E36" w:rsidRDefault="00410E36" w:rsidP="00410E36">
      <w:pPr>
        <w:spacing w:before="120"/>
        <w:jc w:val="both"/>
        <w:rPr>
          <w:color w:val="auto"/>
          <w:sz w:val="22"/>
          <w:szCs w:val="22"/>
        </w:rPr>
      </w:pPr>
      <w:r w:rsidRPr="00410E36">
        <w:rPr>
          <w:color w:val="auto"/>
          <w:sz w:val="22"/>
          <w:szCs w:val="22"/>
        </w:rPr>
        <w:lastRenderedPageBreak/>
        <w:t xml:space="preserve">Graf č. </w:t>
      </w:r>
      <w:r w:rsidR="004B04EC">
        <w:rPr>
          <w:color w:val="auto"/>
          <w:sz w:val="22"/>
          <w:szCs w:val="22"/>
        </w:rPr>
        <w:t>9</w:t>
      </w:r>
      <w:r w:rsidRPr="00410E36">
        <w:rPr>
          <w:color w:val="auto"/>
          <w:sz w:val="22"/>
          <w:szCs w:val="22"/>
        </w:rPr>
        <w:t xml:space="preserve">. </w:t>
      </w:r>
      <w:r w:rsidR="00672A19">
        <w:rPr>
          <w:color w:val="auto"/>
          <w:sz w:val="22"/>
          <w:szCs w:val="22"/>
        </w:rPr>
        <w:t>R</w:t>
      </w:r>
      <w:r w:rsidRPr="00410E36">
        <w:rPr>
          <w:color w:val="auto"/>
          <w:sz w:val="22"/>
          <w:szCs w:val="22"/>
        </w:rPr>
        <w:t>ozpětí teoretického odhadu pravděpodobnosti zvýšení počtu nádorových onemocnění z příjmu benzenu z venkovního ovzduší v roce 2022 v ČR a pro jednotlivé typy městských lokalit</w:t>
      </w:r>
    </w:p>
    <w:p w14:paraId="37400BC2" w14:textId="617C10BB" w:rsidR="00410E36" w:rsidRPr="001507B2" w:rsidRDefault="00BA0C7A" w:rsidP="00410E36">
      <w:pPr>
        <w:pStyle w:val="DefaultText1"/>
        <w:spacing w:before="120" w:line="276" w:lineRule="auto"/>
        <w:jc w:val="both"/>
        <w:rPr>
          <w:rFonts w:ascii="Mulish" w:hAnsi="Mulish"/>
          <w:bCs/>
          <w:sz w:val="22"/>
          <w:szCs w:val="22"/>
        </w:rPr>
      </w:pPr>
      <w:r>
        <w:rPr>
          <w:rFonts w:ascii="Mulish" w:hAnsi="Mulish"/>
          <w:bCs/>
          <w:noProof/>
          <w:sz w:val="22"/>
          <w:szCs w:val="22"/>
        </w:rPr>
        <w:drawing>
          <wp:anchor distT="0" distB="0" distL="114300" distR="114300" simplePos="0" relativeHeight="251696128" behindDoc="0" locked="0" layoutInCell="1" allowOverlap="0" wp14:anchorId="1F472EB8" wp14:editId="66DA4F68">
            <wp:simplePos x="0" y="0"/>
            <wp:positionH relativeFrom="column">
              <wp:posOffset>137160</wp:posOffset>
            </wp:positionH>
            <wp:positionV relativeFrom="page">
              <wp:posOffset>1619250</wp:posOffset>
            </wp:positionV>
            <wp:extent cx="5760000" cy="2174400"/>
            <wp:effectExtent l="0" t="0" r="0" b="0"/>
            <wp:wrapTopAndBottom/>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00" cy="2174400"/>
                    </a:xfrm>
                    <a:prstGeom prst="rect">
                      <a:avLst/>
                    </a:prstGeom>
                    <a:noFill/>
                  </pic:spPr>
                </pic:pic>
              </a:graphicData>
            </a:graphic>
            <wp14:sizeRelH relativeFrom="margin">
              <wp14:pctWidth>0</wp14:pctWidth>
            </wp14:sizeRelH>
            <wp14:sizeRelV relativeFrom="margin">
              <wp14:pctHeight>0</wp14:pctHeight>
            </wp14:sizeRelV>
          </wp:anchor>
        </w:drawing>
      </w:r>
      <w:r w:rsidR="00410E36" w:rsidRPr="001507B2">
        <w:rPr>
          <w:rFonts w:ascii="Mulish" w:hAnsi="Mulish"/>
          <w:bCs/>
          <w:sz w:val="22"/>
          <w:szCs w:val="22"/>
        </w:rPr>
        <w:t xml:space="preserve">Roční střední hodnota z pozaďových stanic byla ≈ 0,7 </w:t>
      </w:r>
      <w:proofErr w:type="spellStart"/>
      <w:r w:rsidR="00410E36" w:rsidRPr="001507B2">
        <w:rPr>
          <w:rFonts w:ascii="Mulish" w:hAnsi="Mulish"/>
          <w:bCs/>
          <w:sz w:val="22"/>
          <w:szCs w:val="22"/>
        </w:rPr>
        <w:t>ng</w:t>
      </w:r>
      <w:proofErr w:type="spellEnd"/>
      <w:r w:rsidR="00410E36" w:rsidRPr="001507B2">
        <w:rPr>
          <w:rFonts w:ascii="Mulish" w:hAnsi="Mulish"/>
          <w:bCs/>
          <w:sz w:val="22"/>
          <w:szCs w:val="22"/>
        </w:rPr>
        <w:t>/m</w:t>
      </w:r>
      <w:r w:rsidR="00410E36" w:rsidRPr="001507B2">
        <w:rPr>
          <w:rFonts w:ascii="Mulish" w:hAnsi="Mulish"/>
          <w:bCs/>
          <w:sz w:val="22"/>
          <w:szCs w:val="22"/>
          <w:vertAlign w:val="superscript"/>
        </w:rPr>
        <w:t>3</w:t>
      </w:r>
      <w:r w:rsidR="00410E36" w:rsidRPr="001507B2">
        <w:rPr>
          <w:rFonts w:ascii="Mulish" w:hAnsi="Mulish"/>
          <w:bCs/>
          <w:sz w:val="22"/>
          <w:szCs w:val="22"/>
        </w:rPr>
        <w:t>, odhad průměrné hodnoty v obydlených městských oblastech 1,1 µg/m</w:t>
      </w:r>
      <w:r w:rsidR="00410E36" w:rsidRPr="001507B2">
        <w:rPr>
          <w:rFonts w:ascii="Mulish" w:hAnsi="Mulish"/>
          <w:bCs/>
          <w:sz w:val="22"/>
          <w:szCs w:val="22"/>
          <w:vertAlign w:val="superscript"/>
        </w:rPr>
        <w:t>3</w:t>
      </w:r>
      <w:r w:rsidR="00410E36" w:rsidRPr="001507B2">
        <w:rPr>
          <w:rFonts w:ascii="Mulish" w:hAnsi="Mulish"/>
          <w:bCs/>
          <w:sz w:val="22"/>
          <w:szCs w:val="22"/>
        </w:rPr>
        <w:t>. Vyšší hodnoty (</w:t>
      </w:r>
      <w:r w:rsidR="00410E36" w:rsidRPr="001507B2">
        <w:rPr>
          <w:rFonts w:ascii="Mulish" w:hAnsi="Mulish"/>
          <w:bCs/>
          <w:sz w:val="22"/>
          <w:szCs w:val="22"/>
          <w:lang w:val="en-GB"/>
        </w:rPr>
        <w:t>&gt; 1 ng/m</w:t>
      </w:r>
      <w:r w:rsidR="00410E36" w:rsidRPr="001507B2">
        <w:rPr>
          <w:rFonts w:ascii="Mulish" w:hAnsi="Mulish"/>
          <w:bCs/>
          <w:sz w:val="22"/>
          <w:szCs w:val="22"/>
          <w:vertAlign w:val="superscript"/>
          <w:lang w:val="en-GB"/>
        </w:rPr>
        <w:t>3</w:t>
      </w:r>
      <w:r w:rsidR="00410E36" w:rsidRPr="001507B2">
        <w:rPr>
          <w:rFonts w:ascii="Mulish" w:hAnsi="Mulish"/>
          <w:bCs/>
          <w:sz w:val="22"/>
          <w:szCs w:val="22"/>
        </w:rPr>
        <w:t>) jsou dlouhodobě měřeny na průmyslových stanicích v Moravsko-slezském kraji (TOCB, TOPR, TOFF).</w:t>
      </w:r>
    </w:p>
    <w:p w14:paraId="54E9B4EC" w14:textId="2F19C142" w:rsidR="00410E36" w:rsidRPr="001E1321" w:rsidRDefault="00410E36" w:rsidP="00410E36">
      <w:pPr>
        <w:spacing w:before="120" w:after="120"/>
        <w:jc w:val="both"/>
        <w:rPr>
          <w:b/>
          <w:color w:val="auto"/>
          <w:sz w:val="22"/>
          <w:szCs w:val="22"/>
        </w:rPr>
      </w:pPr>
      <w:r w:rsidRPr="001E1321">
        <w:rPr>
          <w:b/>
          <w:color w:val="auto"/>
          <w:sz w:val="22"/>
          <w:szCs w:val="22"/>
        </w:rPr>
        <w:t>Individuální karcinogenní riziko odhadované na základě potenciální expozice koncentracím benzenu se v městských lokalitách pohybuje v rozmezí cca tří případů na milión</w:t>
      </w:r>
      <w:r w:rsidRPr="001E1321">
        <w:rPr>
          <w:b/>
          <w:color w:val="FF0000"/>
          <w:sz w:val="22"/>
          <w:szCs w:val="22"/>
        </w:rPr>
        <w:t xml:space="preserve"> </w:t>
      </w:r>
      <w:r w:rsidRPr="001E1321">
        <w:rPr>
          <w:b/>
          <w:color w:val="auto"/>
          <w:sz w:val="22"/>
          <w:szCs w:val="22"/>
        </w:rPr>
        <w:t xml:space="preserve">až </w:t>
      </w:r>
      <w:r w:rsidR="00C06DC0" w:rsidRPr="001E1321">
        <w:rPr>
          <w:b/>
          <w:color w:val="auto"/>
          <w:sz w:val="22"/>
          <w:szCs w:val="22"/>
        </w:rPr>
        <w:t>tří</w:t>
      </w:r>
      <w:r w:rsidRPr="001E1321">
        <w:rPr>
          <w:b/>
          <w:color w:val="auto"/>
          <w:sz w:val="22"/>
          <w:szCs w:val="22"/>
        </w:rPr>
        <w:t xml:space="preserve"> případů na 100 tisíc obyvatel za 70 let.  Populační riziko spočtené na základě odhadu střední hodnoty v sídlech v roce 2022 (1,1 µg/m</w:t>
      </w:r>
      <w:r w:rsidRPr="001E1321">
        <w:rPr>
          <w:b/>
          <w:color w:val="auto"/>
          <w:sz w:val="22"/>
          <w:szCs w:val="22"/>
          <w:vertAlign w:val="superscript"/>
        </w:rPr>
        <w:t>3</w:t>
      </w:r>
      <w:r w:rsidRPr="001E1321">
        <w:rPr>
          <w:b/>
          <w:color w:val="auto"/>
          <w:sz w:val="22"/>
          <w:szCs w:val="22"/>
        </w:rPr>
        <w:t xml:space="preserve">) představuje na deset a půl miliónu obyvatel ČR </w:t>
      </w:r>
      <w:r w:rsidRPr="001E1321">
        <w:rPr>
          <w:b/>
          <w:color w:val="auto"/>
          <w:sz w:val="22"/>
          <w:szCs w:val="22"/>
        </w:rPr>
        <w:sym w:font="Symbol" w:char="F0BB"/>
      </w:r>
      <w:r w:rsidRPr="001E1321">
        <w:rPr>
          <w:b/>
          <w:color w:val="auto"/>
          <w:sz w:val="22"/>
          <w:szCs w:val="22"/>
        </w:rPr>
        <w:t xml:space="preserve"> 1 případ za 1 rok.</w:t>
      </w:r>
    </w:p>
    <w:p w14:paraId="177643F5" w14:textId="4574C576" w:rsidR="001E1321" w:rsidRDefault="001E1321" w:rsidP="00815514">
      <w:pPr>
        <w:pStyle w:val="DefaultText1"/>
        <w:jc w:val="center"/>
        <w:rPr>
          <w:rFonts w:ascii="Mulish" w:hAnsi="Mulish"/>
          <w:b/>
          <w:bCs/>
        </w:rPr>
      </w:pPr>
    </w:p>
    <w:p w14:paraId="103056C6" w14:textId="77777777" w:rsidR="001E1321" w:rsidRDefault="001E1321" w:rsidP="00815514">
      <w:pPr>
        <w:pStyle w:val="DefaultText1"/>
        <w:jc w:val="center"/>
        <w:rPr>
          <w:rFonts w:ascii="Mulish" w:hAnsi="Mulish"/>
          <w:b/>
          <w:bCs/>
        </w:rPr>
      </w:pPr>
    </w:p>
    <w:p w14:paraId="53B608D2" w14:textId="77777777" w:rsidR="001E1321" w:rsidRDefault="001E1321" w:rsidP="00815514">
      <w:pPr>
        <w:pStyle w:val="DefaultText1"/>
        <w:jc w:val="center"/>
        <w:rPr>
          <w:rFonts w:ascii="Mulish" w:hAnsi="Mulish"/>
          <w:b/>
          <w:bCs/>
        </w:rPr>
      </w:pPr>
    </w:p>
    <w:p w14:paraId="4531DFF7" w14:textId="2988DDC6" w:rsidR="00815514" w:rsidRPr="004B04EC" w:rsidRDefault="001E1321" w:rsidP="00815514">
      <w:pPr>
        <w:pStyle w:val="DefaultText1"/>
        <w:jc w:val="center"/>
        <w:rPr>
          <w:rFonts w:ascii="Mulish" w:hAnsi="Mulish"/>
          <w:b/>
          <w:bCs/>
        </w:rPr>
      </w:pPr>
      <w:r w:rsidRPr="001E1321">
        <w:rPr>
          <w:rFonts w:ascii="Mulish" w:hAnsi="Mulish"/>
          <w:b/>
          <w:bCs/>
          <w:noProof/>
        </w:rPr>
        <w:lastRenderedPageBreak/>
        <w:drawing>
          <wp:anchor distT="0" distB="0" distL="114300" distR="114300" simplePos="0" relativeHeight="251697152" behindDoc="0" locked="0" layoutInCell="1" allowOverlap="0" wp14:anchorId="29886F8D" wp14:editId="6D1C1C15">
            <wp:simplePos x="0" y="0"/>
            <wp:positionH relativeFrom="margin">
              <wp:posOffset>133985</wp:posOffset>
            </wp:positionH>
            <wp:positionV relativeFrom="page">
              <wp:posOffset>1924050</wp:posOffset>
            </wp:positionV>
            <wp:extent cx="5778000" cy="2422800"/>
            <wp:effectExtent l="0" t="0" r="0" b="0"/>
            <wp:wrapTopAndBottom/>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8000" cy="2422800"/>
                    </a:xfrm>
                    <a:prstGeom prst="rect">
                      <a:avLst/>
                    </a:prstGeom>
                    <a:noFill/>
                  </pic:spPr>
                </pic:pic>
              </a:graphicData>
            </a:graphic>
            <wp14:sizeRelH relativeFrom="margin">
              <wp14:pctWidth>0</wp14:pctWidth>
            </wp14:sizeRelH>
            <wp14:sizeRelV relativeFrom="margin">
              <wp14:pctHeight>0</wp14:pctHeight>
            </wp14:sizeRelV>
          </wp:anchor>
        </w:drawing>
      </w:r>
      <w:r w:rsidR="00815514">
        <w:rPr>
          <w:rFonts w:ascii="Mulish" w:hAnsi="Mulish"/>
          <w:b/>
          <w:bCs/>
        </w:rPr>
        <w:t>Odhad celkového karcinogenního rizika</w:t>
      </w:r>
      <w:r w:rsidR="00815514" w:rsidRPr="004B04EC">
        <w:rPr>
          <w:rFonts w:ascii="Mulish" w:hAnsi="Mulish"/>
          <w:b/>
          <w:bCs/>
        </w:rPr>
        <w:t xml:space="preserve"> - arsen, nikl, kadmium</w:t>
      </w:r>
      <w:r w:rsidR="00FD1504">
        <w:rPr>
          <w:rFonts w:ascii="Mulish" w:hAnsi="Mulish"/>
          <w:b/>
          <w:bCs/>
        </w:rPr>
        <w:t>, benzen</w:t>
      </w:r>
      <w:r w:rsidR="00815514" w:rsidRPr="004B04EC">
        <w:rPr>
          <w:rFonts w:ascii="Mulish" w:hAnsi="Mulish"/>
          <w:b/>
          <w:bCs/>
        </w:rPr>
        <w:t xml:space="preserve"> a PAU (BaP)</w:t>
      </w:r>
    </w:p>
    <w:bookmarkEnd w:id="3"/>
    <w:p w14:paraId="35C6D22B" w14:textId="20A4CEB6" w:rsidR="004B04EC" w:rsidRPr="004B04EC" w:rsidRDefault="004B04EC" w:rsidP="004B04EC">
      <w:pPr>
        <w:jc w:val="both"/>
        <w:rPr>
          <w:color w:val="auto"/>
          <w:sz w:val="22"/>
          <w:szCs w:val="22"/>
        </w:rPr>
      </w:pPr>
      <w:r w:rsidRPr="004B04EC">
        <w:rPr>
          <w:color w:val="auto"/>
          <w:sz w:val="22"/>
          <w:szCs w:val="22"/>
        </w:rPr>
        <w:t xml:space="preserve">Graf č. </w:t>
      </w:r>
      <w:r>
        <w:rPr>
          <w:color w:val="auto"/>
          <w:sz w:val="22"/>
          <w:szCs w:val="22"/>
        </w:rPr>
        <w:t>10</w:t>
      </w:r>
      <w:r w:rsidRPr="004B04EC">
        <w:rPr>
          <w:color w:val="auto"/>
          <w:sz w:val="22"/>
          <w:szCs w:val="22"/>
        </w:rPr>
        <w:t xml:space="preserve">. - </w:t>
      </w:r>
      <w:r w:rsidR="00672A19">
        <w:rPr>
          <w:color w:val="auto"/>
          <w:sz w:val="22"/>
          <w:szCs w:val="22"/>
        </w:rPr>
        <w:t>R</w:t>
      </w:r>
      <w:r w:rsidRPr="004B04EC">
        <w:rPr>
          <w:color w:val="auto"/>
          <w:sz w:val="22"/>
          <w:szCs w:val="22"/>
        </w:rPr>
        <w:t xml:space="preserve">ozpětí teoretického odhadu pravděpodobnosti zvýšení počtu nádorových onemocnění z příjmu As, Ni, Cd, benzenu a BaP z venkovního ovzduší v roce 2022 v ČR </w:t>
      </w:r>
    </w:p>
    <w:p w14:paraId="5C11DA1F" w14:textId="10CD1DC3" w:rsidR="00815514" w:rsidRDefault="00815514" w:rsidP="00134AA1">
      <w:pPr>
        <w:pStyle w:val="DefaultText1"/>
        <w:jc w:val="center"/>
        <w:rPr>
          <w:rFonts w:ascii="Mulish" w:hAnsi="Mulish"/>
          <w:b/>
          <w:bCs/>
        </w:rPr>
      </w:pPr>
    </w:p>
    <w:p w14:paraId="4DEBC1BA" w14:textId="4DAAEA30" w:rsidR="00830024" w:rsidRPr="004B04EC" w:rsidRDefault="00830024" w:rsidP="00830024">
      <w:pPr>
        <w:spacing w:before="120"/>
        <w:jc w:val="both"/>
        <w:rPr>
          <w:color w:val="auto"/>
          <w:sz w:val="22"/>
          <w:szCs w:val="22"/>
        </w:rPr>
      </w:pPr>
      <w:r w:rsidRPr="004B04EC">
        <w:rPr>
          <w:color w:val="auto"/>
          <w:sz w:val="22"/>
          <w:szCs w:val="22"/>
        </w:rPr>
        <w:t xml:space="preserve">Tabulka č. </w:t>
      </w:r>
      <w:r w:rsidRPr="004B04EC">
        <w:rPr>
          <w:color w:val="auto"/>
          <w:sz w:val="22"/>
          <w:szCs w:val="22"/>
        </w:rPr>
        <w:fldChar w:fldCharType="begin"/>
      </w:r>
      <w:r w:rsidRPr="004B04EC">
        <w:rPr>
          <w:color w:val="auto"/>
          <w:sz w:val="22"/>
          <w:szCs w:val="22"/>
        </w:rPr>
        <w:instrText xml:space="preserve"> SEQ Tabulka_č._ \* ARABIC </w:instrText>
      </w:r>
      <w:r w:rsidRPr="004B04EC">
        <w:rPr>
          <w:color w:val="auto"/>
          <w:sz w:val="22"/>
          <w:szCs w:val="22"/>
        </w:rPr>
        <w:fldChar w:fldCharType="separate"/>
      </w:r>
      <w:r w:rsidR="00D30EF9">
        <w:rPr>
          <w:noProof/>
          <w:color w:val="auto"/>
          <w:sz w:val="22"/>
          <w:szCs w:val="22"/>
        </w:rPr>
        <w:t>13</w:t>
      </w:r>
      <w:r w:rsidRPr="004B04EC">
        <w:rPr>
          <w:color w:val="auto"/>
          <w:sz w:val="22"/>
          <w:szCs w:val="22"/>
        </w:rPr>
        <w:fldChar w:fldCharType="end"/>
      </w:r>
      <w:r w:rsidRPr="004B04EC">
        <w:rPr>
          <w:color w:val="auto"/>
          <w:sz w:val="22"/>
          <w:szCs w:val="22"/>
        </w:rPr>
        <w:t>. – 202</w:t>
      </w:r>
      <w:r w:rsidR="004B04EC" w:rsidRPr="004B04EC">
        <w:rPr>
          <w:color w:val="auto"/>
          <w:sz w:val="22"/>
          <w:szCs w:val="22"/>
        </w:rPr>
        <w:t>2</w:t>
      </w:r>
      <w:r w:rsidRPr="004B04EC">
        <w:rPr>
          <w:color w:val="auto"/>
          <w:sz w:val="22"/>
          <w:szCs w:val="22"/>
        </w:rPr>
        <w:t xml:space="preserve"> - Odhad celkového populačního rizika a populačního rizika pro jednotlivé látky (vypočteno pro 10,5 mil. obyvatel ČR a v případě městských lokalit pro </w:t>
      </w:r>
      <w:r w:rsidRPr="004B04EC">
        <w:rPr>
          <w:color w:val="auto"/>
          <w:sz w:val="22"/>
          <w:szCs w:val="22"/>
        </w:rPr>
        <w:br/>
        <w:t>5,2 mil. obyvatel)</w:t>
      </w:r>
    </w:p>
    <w:tbl>
      <w:tblPr>
        <w:tblW w:w="4918" w:type="pct"/>
        <w:jc w:val="center"/>
        <w:tblCellMar>
          <w:left w:w="70" w:type="dxa"/>
          <w:right w:w="70" w:type="dxa"/>
        </w:tblCellMar>
        <w:tblLook w:val="0000" w:firstRow="0" w:lastRow="0" w:firstColumn="0" w:lastColumn="0" w:noHBand="0" w:noVBand="0"/>
      </w:tblPr>
      <w:tblGrid>
        <w:gridCol w:w="3406"/>
        <w:gridCol w:w="851"/>
        <w:gridCol w:w="714"/>
        <w:gridCol w:w="708"/>
        <w:gridCol w:w="708"/>
        <w:gridCol w:w="839"/>
        <w:gridCol w:w="720"/>
        <w:gridCol w:w="708"/>
        <w:gridCol w:w="816"/>
      </w:tblGrid>
      <w:tr w:rsidR="0065621A" w:rsidRPr="00D66167" w14:paraId="73FBE75C" w14:textId="77777777" w:rsidTr="007157F4">
        <w:trPr>
          <w:trHeight w:val="375"/>
          <w:jc w:val="center"/>
        </w:trPr>
        <w:tc>
          <w:tcPr>
            <w:tcW w:w="1798" w:type="pct"/>
            <w:tcBorders>
              <w:top w:val="single" w:sz="4" w:space="0" w:color="auto"/>
              <w:left w:val="single" w:sz="4" w:space="0" w:color="auto"/>
              <w:bottom w:val="nil"/>
              <w:right w:val="single" w:sz="4" w:space="0" w:color="auto"/>
            </w:tcBorders>
            <w:shd w:val="clear" w:color="auto" w:fill="B4C6E7" w:themeFill="accent1" w:themeFillTint="66"/>
            <w:noWrap/>
            <w:vAlign w:val="bottom"/>
          </w:tcPr>
          <w:p w14:paraId="6873DBF4" w14:textId="5B87D524" w:rsidR="00830024" w:rsidRPr="004B04EC" w:rsidRDefault="00830024" w:rsidP="004B04EC">
            <w:pPr>
              <w:rPr>
                <w:b/>
                <w:bCs/>
                <w:color w:val="auto"/>
              </w:rPr>
            </w:pPr>
            <w:r w:rsidRPr="004B04EC">
              <w:rPr>
                <w:b/>
                <w:bCs/>
                <w:color w:val="auto"/>
              </w:rPr>
              <w:t>202</w:t>
            </w:r>
            <w:r w:rsidR="004B04EC">
              <w:rPr>
                <w:b/>
                <w:bCs/>
                <w:color w:val="auto"/>
              </w:rPr>
              <w:t>2</w:t>
            </w:r>
            <w:r w:rsidRPr="004B04EC">
              <w:rPr>
                <w:b/>
                <w:bCs/>
                <w:color w:val="auto"/>
              </w:rPr>
              <w:t xml:space="preserve"> - karcinogenní látky</w:t>
            </w:r>
          </w:p>
        </w:tc>
        <w:tc>
          <w:tcPr>
            <w:tcW w:w="826" w:type="pct"/>
            <w:gridSpan w:val="2"/>
            <w:tcBorders>
              <w:top w:val="single" w:sz="4" w:space="0" w:color="auto"/>
              <w:left w:val="nil"/>
              <w:bottom w:val="nil"/>
              <w:right w:val="single" w:sz="4" w:space="0" w:color="000000"/>
            </w:tcBorders>
            <w:shd w:val="clear" w:color="auto" w:fill="B4C6E7" w:themeFill="accent1" w:themeFillTint="66"/>
            <w:noWrap/>
            <w:vAlign w:val="bottom"/>
          </w:tcPr>
          <w:p w14:paraId="3FCA023F" w14:textId="77777777" w:rsidR="00830024" w:rsidRPr="004B04EC" w:rsidRDefault="00830024" w:rsidP="00830024">
            <w:pPr>
              <w:jc w:val="center"/>
              <w:rPr>
                <w:color w:val="auto"/>
              </w:rPr>
            </w:pPr>
            <w:r w:rsidRPr="004B04EC">
              <w:rPr>
                <w:color w:val="auto"/>
              </w:rPr>
              <w:t>BaP</w:t>
            </w:r>
          </w:p>
        </w:tc>
        <w:tc>
          <w:tcPr>
            <w:tcW w:w="748" w:type="pct"/>
            <w:gridSpan w:val="2"/>
            <w:tcBorders>
              <w:top w:val="single" w:sz="4" w:space="0" w:color="auto"/>
              <w:left w:val="nil"/>
              <w:bottom w:val="nil"/>
              <w:right w:val="single" w:sz="4" w:space="0" w:color="000000"/>
            </w:tcBorders>
            <w:shd w:val="clear" w:color="auto" w:fill="B4C6E7" w:themeFill="accent1" w:themeFillTint="66"/>
            <w:noWrap/>
            <w:vAlign w:val="bottom"/>
          </w:tcPr>
          <w:p w14:paraId="43C50639" w14:textId="77777777" w:rsidR="00830024" w:rsidRPr="004B04EC" w:rsidRDefault="00830024" w:rsidP="00830024">
            <w:pPr>
              <w:jc w:val="center"/>
              <w:rPr>
                <w:color w:val="auto"/>
              </w:rPr>
            </w:pPr>
            <w:r w:rsidRPr="004B04EC">
              <w:rPr>
                <w:color w:val="auto"/>
              </w:rPr>
              <w:t>Arsen</w:t>
            </w:r>
          </w:p>
        </w:tc>
        <w:tc>
          <w:tcPr>
            <w:tcW w:w="823" w:type="pct"/>
            <w:gridSpan w:val="2"/>
            <w:tcBorders>
              <w:top w:val="single" w:sz="4" w:space="0" w:color="auto"/>
              <w:left w:val="nil"/>
              <w:bottom w:val="nil"/>
              <w:right w:val="single" w:sz="4" w:space="0" w:color="auto"/>
            </w:tcBorders>
            <w:shd w:val="clear" w:color="auto" w:fill="B4C6E7" w:themeFill="accent1" w:themeFillTint="66"/>
            <w:noWrap/>
            <w:vAlign w:val="bottom"/>
          </w:tcPr>
          <w:p w14:paraId="788CA2A7" w14:textId="77777777" w:rsidR="00830024" w:rsidRPr="004B04EC" w:rsidRDefault="00830024" w:rsidP="00830024">
            <w:pPr>
              <w:jc w:val="center"/>
              <w:rPr>
                <w:color w:val="auto"/>
              </w:rPr>
            </w:pPr>
            <w:r w:rsidRPr="004B04EC">
              <w:rPr>
                <w:color w:val="auto"/>
              </w:rPr>
              <w:t>Nikl</w:t>
            </w:r>
          </w:p>
        </w:tc>
        <w:tc>
          <w:tcPr>
            <w:tcW w:w="806" w:type="pct"/>
            <w:gridSpan w:val="2"/>
            <w:tcBorders>
              <w:top w:val="single" w:sz="4" w:space="0" w:color="auto"/>
              <w:left w:val="single" w:sz="4" w:space="0" w:color="auto"/>
              <w:bottom w:val="nil"/>
              <w:right w:val="single" w:sz="4" w:space="0" w:color="auto"/>
            </w:tcBorders>
            <w:shd w:val="clear" w:color="auto" w:fill="B4C6E7" w:themeFill="accent1" w:themeFillTint="66"/>
            <w:vAlign w:val="bottom"/>
          </w:tcPr>
          <w:p w14:paraId="4648DABA" w14:textId="77777777" w:rsidR="00830024" w:rsidRPr="004B04EC" w:rsidRDefault="00830024" w:rsidP="00830024">
            <w:pPr>
              <w:jc w:val="center"/>
              <w:rPr>
                <w:color w:val="auto"/>
              </w:rPr>
            </w:pPr>
            <w:r w:rsidRPr="004B04EC">
              <w:rPr>
                <w:color w:val="auto"/>
              </w:rPr>
              <w:t>Kadmium</w:t>
            </w:r>
          </w:p>
        </w:tc>
      </w:tr>
      <w:tr w:rsidR="00672A19" w:rsidRPr="00D66167" w14:paraId="1FEEBD93" w14:textId="77777777" w:rsidTr="007157F4">
        <w:trPr>
          <w:trHeight w:val="315"/>
          <w:jc w:val="center"/>
        </w:trPr>
        <w:tc>
          <w:tcPr>
            <w:tcW w:w="1798" w:type="pct"/>
            <w:tcBorders>
              <w:top w:val="nil"/>
              <w:left w:val="single" w:sz="4" w:space="0" w:color="auto"/>
              <w:bottom w:val="single" w:sz="4" w:space="0" w:color="auto"/>
              <w:right w:val="single" w:sz="4" w:space="0" w:color="auto"/>
            </w:tcBorders>
            <w:shd w:val="clear" w:color="auto" w:fill="B4C6E7" w:themeFill="accent1" w:themeFillTint="66"/>
            <w:noWrap/>
            <w:vAlign w:val="bottom"/>
          </w:tcPr>
          <w:p w14:paraId="21E7B3CD" w14:textId="4F6DE6A8" w:rsidR="00672A19" w:rsidRPr="004B04EC" w:rsidRDefault="00672A19" w:rsidP="00672A19">
            <w:pPr>
              <w:rPr>
                <w:color w:val="auto"/>
              </w:rPr>
            </w:pPr>
            <w:r w:rsidRPr="004B04EC">
              <w:rPr>
                <w:color w:val="auto"/>
              </w:rPr>
              <w:t>populační riziko/70 let</w:t>
            </w:r>
          </w:p>
        </w:tc>
        <w:tc>
          <w:tcPr>
            <w:tcW w:w="449" w:type="pct"/>
            <w:tcBorders>
              <w:top w:val="nil"/>
              <w:left w:val="single" w:sz="4" w:space="0" w:color="auto"/>
              <w:bottom w:val="single" w:sz="4" w:space="0" w:color="auto"/>
              <w:right w:val="nil"/>
            </w:tcBorders>
            <w:shd w:val="clear" w:color="auto" w:fill="B4C6E7" w:themeFill="accent1" w:themeFillTint="66"/>
            <w:noWrap/>
            <w:vAlign w:val="bottom"/>
          </w:tcPr>
          <w:p w14:paraId="50E99138" w14:textId="6BB9EB34" w:rsidR="00672A19" w:rsidRPr="004B04EC" w:rsidRDefault="00672A19" w:rsidP="00672A19">
            <w:pPr>
              <w:jc w:val="center"/>
              <w:rPr>
                <w:color w:val="auto"/>
              </w:rPr>
            </w:pPr>
            <w:r>
              <w:rPr>
                <w:color w:val="auto"/>
              </w:rPr>
              <w:t>M</w:t>
            </w:r>
            <w:r w:rsidRPr="004B04EC">
              <w:rPr>
                <w:color w:val="auto"/>
              </w:rPr>
              <w:t>in</w:t>
            </w:r>
          </w:p>
        </w:tc>
        <w:tc>
          <w:tcPr>
            <w:tcW w:w="376" w:type="pct"/>
            <w:tcBorders>
              <w:top w:val="nil"/>
              <w:left w:val="nil"/>
              <w:bottom w:val="single" w:sz="4" w:space="0" w:color="auto"/>
              <w:right w:val="single" w:sz="4" w:space="0" w:color="auto"/>
            </w:tcBorders>
            <w:shd w:val="clear" w:color="auto" w:fill="B4C6E7" w:themeFill="accent1" w:themeFillTint="66"/>
            <w:noWrap/>
            <w:vAlign w:val="bottom"/>
          </w:tcPr>
          <w:p w14:paraId="2B74F1B4" w14:textId="0D6D10D7" w:rsidR="00672A19" w:rsidRPr="004B04EC" w:rsidRDefault="00672A19" w:rsidP="00672A19">
            <w:pPr>
              <w:jc w:val="center"/>
              <w:rPr>
                <w:color w:val="auto"/>
              </w:rPr>
            </w:pPr>
            <w:r>
              <w:rPr>
                <w:color w:val="auto"/>
              </w:rPr>
              <w:t>M</w:t>
            </w:r>
            <w:r w:rsidRPr="004B04EC">
              <w:rPr>
                <w:color w:val="auto"/>
              </w:rPr>
              <w:t>ax</w:t>
            </w:r>
          </w:p>
        </w:tc>
        <w:tc>
          <w:tcPr>
            <w:tcW w:w="374" w:type="pct"/>
            <w:tcBorders>
              <w:top w:val="nil"/>
              <w:left w:val="nil"/>
              <w:bottom w:val="single" w:sz="4" w:space="0" w:color="auto"/>
              <w:right w:val="nil"/>
            </w:tcBorders>
            <w:shd w:val="clear" w:color="auto" w:fill="B4C6E7" w:themeFill="accent1" w:themeFillTint="66"/>
            <w:noWrap/>
            <w:vAlign w:val="bottom"/>
          </w:tcPr>
          <w:p w14:paraId="4069507F" w14:textId="222952AC" w:rsidR="00672A19" w:rsidRPr="004B04EC" w:rsidRDefault="00672A19" w:rsidP="00672A19">
            <w:pPr>
              <w:jc w:val="center"/>
              <w:rPr>
                <w:color w:val="auto"/>
              </w:rPr>
            </w:pPr>
            <w:r>
              <w:rPr>
                <w:color w:val="auto"/>
              </w:rPr>
              <w:t>M</w:t>
            </w:r>
            <w:r w:rsidRPr="004B04EC">
              <w:rPr>
                <w:color w:val="auto"/>
              </w:rPr>
              <w:t>in</w:t>
            </w:r>
          </w:p>
        </w:tc>
        <w:tc>
          <w:tcPr>
            <w:tcW w:w="374" w:type="pct"/>
            <w:tcBorders>
              <w:top w:val="nil"/>
              <w:left w:val="nil"/>
              <w:bottom w:val="single" w:sz="4" w:space="0" w:color="auto"/>
              <w:right w:val="single" w:sz="4" w:space="0" w:color="auto"/>
            </w:tcBorders>
            <w:shd w:val="clear" w:color="auto" w:fill="B4C6E7" w:themeFill="accent1" w:themeFillTint="66"/>
            <w:noWrap/>
            <w:vAlign w:val="bottom"/>
          </w:tcPr>
          <w:p w14:paraId="2341E444" w14:textId="317316A7" w:rsidR="00672A19" w:rsidRPr="004B04EC" w:rsidRDefault="00672A19" w:rsidP="00672A19">
            <w:pPr>
              <w:jc w:val="center"/>
              <w:rPr>
                <w:color w:val="auto"/>
              </w:rPr>
            </w:pPr>
            <w:r>
              <w:rPr>
                <w:color w:val="auto"/>
              </w:rPr>
              <w:t>M</w:t>
            </w:r>
            <w:r w:rsidRPr="004B04EC">
              <w:rPr>
                <w:color w:val="auto"/>
              </w:rPr>
              <w:t>ax</w:t>
            </w:r>
          </w:p>
        </w:tc>
        <w:tc>
          <w:tcPr>
            <w:tcW w:w="443" w:type="pct"/>
            <w:tcBorders>
              <w:top w:val="nil"/>
              <w:left w:val="nil"/>
              <w:bottom w:val="single" w:sz="4" w:space="0" w:color="auto"/>
              <w:right w:val="nil"/>
            </w:tcBorders>
            <w:shd w:val="clear" w:color="auto" w:fill="B4C6E7" w:themeFill="accent1" w:themeFillTint="66"/>
            <w:noWrap/>
            <w:vAlign w:val="bottom"/>
          </w:tcPr>
          <w:p w14:paraId="31DECD29" w14:textId="14310C70" w:rsidR="00672A19" w:rsidRPr="004B04EC" w:rsidRDefault="00672A19" w:rsidP="00672A19">
            <w:pPr>
              <w:jc w:val="center"/>
              <w:rPr>
                <w:color w:val="auto"/>
              </w:rPr>
            </w:pPr>
            <w:r>
              <w:rPr>
                <w:color w:val="auto"/>
              </w:rPr>
              <w:t>M</w:t>
            </w:r>
            <w:r w:rsidRPr="004B04EC">
              <w:rPr>
                <w:color w:val="auto"/>
              </w:rPr>
              <w:t>in</w:t>
            </w:r>
          </w:p>
        </w:tc>
        <w:tc>
          <w:tcPr>
            <w:tcW w:w="380" w:type="pct"/>
            <w:tcBorders>
              <w:top w:val="nil"/>
              <w:left w:val="nil"/>
              <w:bottom w:val="single" w:sz="4" w:space="0" w:color="auto"/>
              <w:right w:val="single" w:sz="4" w:space="0" w:color="auto"/>
            </w:tcBorders>
            <w:shd w:val="clear" w:color="auto" w:fill="B4C6E7" w:themeFill="accent1" w:themeFillTint="66"/>
            <w:noWrap/>
            <w:vAlign w:val="bottom"/>
          </w:tcPr>
          <w:p w14:paraId="4B716A2C" w14:textId="5B58A05E" w:rsidR="00672A19" w:rsidRPr="004B04EC" w:rsidRDefault="00672A19" w:rsidP="00672A19">
            <w:pPr>
              <w:jc w:val="center"/>
              <w:rPr>
                <w:color w:val="auto"/>
              </w:rPr>
            </w:pPr>
            <w:r>
              <w:rPr>
                <w:color w:val="auto"/>
              </w:rPr>
              <w:t>M</w:t>
            </w:r>
            <w:r w:rsidRPr="004B04EC">
              <w:rPr>
                <w:color w:val="auto"/>
              </w:rPr>
              <w:t>ax</w:t>
            </w:r>
          </w:p>
        </w:tc>
        <w:tc>
          <w:tcPr>
            <w:tcW w:w="374" w:type="pct"/>
            <w:tcBorders>
              <w:top w:val="nil"/>
              <w:left w:val="nil"/>
              <w:bottom w:val="single" w:sz="4" w:space="0" w:color="auto"/>
              <w:right w:val="nil"/>
            </w:tcBorders>
            <w:shd w:val="clear" w:color="auto" w:fill="B4C6E7" w:themeFill="accent1" w:themeFillTint="66"/>
            <w:vAlign w:val="bottom"/>
          </w:tcPr>
          <w:p w14:paraId="5902F060" w14:textId="4CF3FFB8" w:rsidR="00672A19" w:rsidRPr="004B04EC" w:rsidRDefault="00672A19" w:rsidP="00672A19">
            <w:pPr>
              <w:jc w:val="center"/>
              <w:rPr>
                <w:color w:val="auto"/>
              </w:rPr>
            </w:pPr>
            <w:r>
              <w:rPr>
                <w:color w:val="auto"/>
              </w:rPr>
              <w:t>M</w:t>
            </w:r>
            <w:r w:rsidRPr="004B04EC">
              <w:rPr>
                <w:color w:val="auto"/>
              </w:rPr>
              <w:t>in</w:t>
            </w:r>
          </w:p>
        </w:tc>
        <w:tc>
          <w:tcPr>
            <w:tcW w:w="432" w:type="pct"/>
            <w:tcBorders>
              <w:top w:val="nil"/>
              <w:left w:val="nil"/>
              <w:bottom w:val="single" w:sz="4" w:space="0" w:color="auto"/>
              <w:right w:val="single" w:sz="4" w:space="0" w:color="auto"/>
            </w:tcBorders>
            <w:shd w:val="clear" w:color="auto" w:fill="B4C6E7" w:themeFill="accent1" w:themeFillTint="66"/>
            <w:vAlign w:val="bottom"/>
          </w:tcPr>
          <w:p w14:paraId="60CC7D46" w14:textId="479ACAEB" w:rsidR="00672A19" w:rsidRPr="004B04EC" w:rsidRDefault="00672A19" w:rsidP="00672A19">
            <w:pPr>
              <w:jc w:val="center"/>
              <w:rPr>
                <w:color w:val="auto"/>
              </w:rPr>
            </w:pPr>
            <w:r>
              <w:rPr>
                <w:color w:val="auto"/>
              </w:rPr>
              <w:t>M</w:t>
            </w:r>
            <w:r w:rsidRPr="004B04EC">
              <w:rPr>
                <w:color w:val="auto"/>
              </w:rPr>
              <w:t>ax</w:t>
            </w:r>
          </w:p>
        </w:tc>
      </w:tr>
      <w:tr w:rsidR="0065621A" w:rsidRPr="00D66167" w14:paraId="1C12D0A8" w14:textId="77777777" w:rsidTr="007157F4">
        <w:trPr>
          <w:trHeight w:val="315"/>
          <w:jc w:val="center"/>
        </w:trPr>
        <w:tc>
          <w:tcPr>
            <w:tcW w:w="179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tcPr>
          <w:p w14:paraId="24EB6D65" w14:textId="07668287" w:rsidR="00830024" w:rsidRPr="004B04EC" w:rsidRDefault="00830024" w:rsidP="00830024">
            <w:pPr>
              <w:rPr>
                <w:color w:val="auto"/>
              </w:rPr>
            </w:pPr>
            <w:r w:rsidRPr="004B04EC">
              <w:rPr>
                <w:color w:val="auto"/>
              </w:rPr>
              <w:t>ČR (10,5 mil. obyvatel)</w:t>
            </w:r>
          </w:p>
        </w:tc>
        <w:tc>
          <w:tcPr>
            <w:tcW w:w="449" w:type="pct"/>
            <w:tcBorders>
              <w:top w:val="single" w:sz="4" w:space="0" w:color="auto"/>
              <w:left w:val="nil"/>
              <w:bottom w:val="single" w:sz="4" w:space="0" w:color="auto"/>
              <w:right w:val="single" w:sz="4" w:space="0" w:color="auto"/>
            </w:tcBorders>
            <w:shd w:val="clear" w:color="auto" w:fill="auto"/>
            <w:noWrap/>
            <w:vAlign w:val="center"/>
          </w:tcPr>
          <w:p w14:paraId="76D08FFC" w14:textId="04867D40" w:rsidR="00830024" w:rsidRPr="00160547" w:rsidRDefault="00830024" w:rsidP="00160547">
            <w:pPr>
              <w:jc w:val="center"/>
              <w:rPr>
                <w:color w:val="auto"/>
              </w:rPr>
            </w:pPr>
            <w:r w:rsidRPr="00160547">
              <w:rPr>
                <w:color w:val="auto"/>
              </w:rPr>
              <w:t>3,</w:t>
            </w:r>
            <w:r w:rsidR="00160547" w:rsidRPr="00160547">
              <w:rPr>
                <w:color w:val="auto"/>
              </w:rPr>
              <w:t>27</w:t>
            </w:r>
          </w:p>
        </w:tc>
        <w:tc>
          <w:tcPr>
            <w:tcW w:w="376" w:type="pct"/>
            <w:tcBorders>
              <w:top w:val="single" w:sz="4" w:space="0" w:color="auto"/>
              <w:left w:val="nil"/>
              <w:bottom w:val="single" w:sz="4" w:space="0" w:color="auto"/>
              <w:right w:val="single" w:sz="4" w:space="0" w:color="auto"/>
            </w:tcBorders>
            <w:shd w:val="clear" w:color="auto" w:fill="auto"/>
            <w:noWrap/>
            <w:vAlign w:val="center"/>
          </w:tcPr>
          <w:p w14:paraId="3A309DA6" w14:textId="34D42CE6" w:rsidR="00830024" w:rsidRPr="00160547" w:rsidRDefault="00160547" w:rsidP="00830024">
            <w:pPr>
              <w:jc w:val="center"/>
              <w:rPr>
                <w:color w:val="auto"/>
              </w:rPr>
            </w:pPr>
            <w:r w:rsidRPr="00160547">
              <w:rPr>
                <w:color w:val="auto"/>
              </w:rPr>
              <w:t>78</w:t>
            </w:r>
            <w:r w:rsidR="00830024" w:rsidRPr="00160547">
              <w:rPr>
                <w:color w:val="auto"/>
              </w:rPr>
              <w:t>,6</w:t>
            </w:r>
          </w:p>
        </w:tc>
        <w:tc>
          <w:tcPr>
            <w:tcW w:w="374" w:type="pct"/>
            <w:tcBorders>
              <w:top w:val="single" w:sz="4" w:space="0" w:color="auto"/>
              <w:left w:val="nil"/>
              <w:bottom w:val="single" w:sz="4" w:space="0" w:color="auto"/>
              <w:right w:val="single" w:sz="4" w:space="0" w:color="auto"/>
            </w:tcBorders>
            <w:shd w:val="clear" w:color="auto" w:fill="auto"/>
            <w:noWrap/>
            <w:vAlign w:val="center"/>
          </w:tcPr>
          <w:p w14:paraId="761CC0BE" w14:textId="441D46E9" w:rsidR="00830024" w:rsidRPr="00A6481E" w:rsidRDefault="00830024" w:rsidP="00A6481E">
            <w:pPr>
              <w:jc w:val="center"/>
              <w:rPr>
                <w:color w:val="auto"/>
              </w:rPr>
            </w:pPr>
            <w:r w:rsidRPr="00A6481E">
              <w:rPr>
                <w:color w:val="auto"/>
              </w:rPr>
              <w:t>0,0</w:t>
            </w:r>
            <w:r w:rsidR="00A6481E" w:rsidRPr="00A6481E">
              <w:rPr>
                <w:color w:val="auto"/>
              </w:rPr>
              <w:t>2</w:t>
            </w:r>
          </w:p>
        </w:tc>
        <w:tc>
          <w:tcPr>
            <w:tcW w:w="374" w:type="pct"/>
            <w:tcBorders>
              <w:top w:val="single" w:sz="4" w:space="0" w:color="auto"/>
              <w:left w:val="nil"/>
              <w:bottom w:val="single" w:sz="4" w:space="0" w:color="auto"/>
              <w:right w:val="single" w:sz="4" w:space="0" w:color="auto"/>
            </w:tcBorders>
            <w:shd w:val="clear" w:color="auto" w:fill="auto"/>
            <w:noWrap/>
            <w:vAlign w:val="center"/>
          </w:tcPr>
          <w:p w14:paraId="481B3840" w14:textId="42BCB1D6" w:rsidR="00830024" w:rsidRPr="00A6481E" w:rsidRDefault="00A6481E" w:rsidP="00A6481E">
            <w:pPr>
              <w:jc w:val="center"/>
              <w:rPr>
                <w:color w:val="auto"/>
              </w:rPr>
            </w:pPr>
            <w:r w:rsidRPr="00A6481E">
              <w:rPr>
                <w:color w:val="auto"/>
              </w:rPr>
              <w:t>1</w:t>
            </w:r>
            <w:r w:rsidR="00830024" w:rsidRPr="00A6481E">
              <w:rPr>
                <w:color w:val="auto"/>
              </w:rPr>
              <w:t>,</w:t>
            </w:r>
            <w:r w:rsidRPr="00A6481E">
              <w:rPr>
                <w:color w:val="auto"/>
              </w:rPr>
              <w:t>18</w:t>
            </w:r>
          </w:p>
        </w:tc>
        <w:tc>
          <w:tcPr>
            <w:tcW w:w="443" w:type="pct"/>
            <w:tcBorders>
              <w:top w:val="single" w:sz="4" w:space="0" w:color="auto"/>
              <w:left w:val="nil"/>
              <w:bottom w:val="single" w:sz="4" w:space="0" w:color="auto"/>
              <w:right w:val="single" w:sz="4" w:space="0" w:color="auto"/>
            </w:tcBorders>
            <w:shd w:val="clear" w:color="auto" w:fill="auto"/>
            <w:noWrap/>
            <w:vAlign w:val="center"/>
          </w:tcPr>
          <w:p w14:paraId="5749D992" w14:textId="77777777" w:rsidR="00830024" w:rsidRPr="00A6481E" w:rsidRDefault="00830024" w:rsidP="00830024">
            <w:pPr>
              <w:jc w:val="center"/>
              <w:rPr>
                <w:color w:val="auto"/>
              </w:rPr>
            </w:pPr>
            <w:r w:rsidRPr="00A6481E">
              <w:rPr>
                <w:color w:val="auto"/>
              </w:rPr>
              <w:t>0,01</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472CAC93" w14:textId="788C5043" w:rsidR="00830024" w:rsidRPr="00A6481E" w:rsidRDefault="00830024" w:rsidP="00A6481E">
            <w:pPr>
              <w:jc w:val="center"/>
              <w:rPr>
                <w:color w:val="auto"/>
              </w:rPr>
            </w:pPr>
            <w:r w:rsidRPr="00A6481E">
              <w:rPr>
                <w:color w:val="auto"/>
              </w:rPr>
              <w:t>0,</w:t>
            </w:r>
            <w:r w:rsidR="00A6481E" w:rsidRPr="00A6481E">
              <w:rPr>
                <w:color w:val="auto"/>
              </w:rPr>
              <w:t>23</w:t>
            </w:r>
          </w:p>
        </w:tc>
        <w:tc>
          <w:tcPr>
            <w:tcW w:w="374" w:type="pct"/>
            <w:tcBorders>
              <w:top w:val="single" w:sz="4" w:space="0" w:color="auto"/>
              <w:left w:val="nil"/>
              <w:bottom w:val="single" w:sz="4" w:space="0" w:color="auto"/>
              <w:right w:val="single" w:sz="4" w:space="0" w:color="auto"/>
            </w:tcBorders>
            <w:vAlign w:val="center"/>
          </w:tcPr>
          <w:p w14:paraId="17E56AE2" w14:textId="6AA42AEB" w:rsidR="00830024" w:rsidRPr="000B1AE2" w:rsidRDefault="00830024" w:rsidP="000B1AE2">
            <w:pPr>
              <w:jc w:val="center"/>
              <w:rPr>
                <w:color w:val="auto"/>
              </w:rPr>
            </w:pPr>
            <w:r w:rsidRPr="000B1AE2">
              <w:rPr>
                <w:color w:val="auto"/>
              </w:rPr>
              <w:t>0,00</w:t>
            </w:r>
            <w:r w:rsidR="000B1AE2" w:rsidRPr="000B1AE2">
              <w:rPr>
                <w:color w:val="auto"/>
              </w:rPr>
              <w:t>3</w:t>
            </w:r>
          </w:p>
        </w:tc>
        <w:tc>
          <w:tcPr>
            <w:tcW w:w="432" w:type="pct"/>
            <w:tcBorders>
              <w:top w:val="single" w:sz="4" w:space="0" w:color="auto"/>
              <w:left w:val="single" w:sz="4" w:space="0" w:color="auto"/>
              <w:bottom w:val="single" w:sz="4" w:space="0" w:color="auto"/>
              <w:right w:val="single" w:sz="4" w:space="0" w:color="auto"/>
            </w:tcBorders>
            <w:vAlign w:val="center"/>
          </w:tcPr>
          <w:p w14:paraId="57420DA8" w14:textId="768BBE74" w:rsidR="00830024" w:rsidRPr="000B1AE2" w:rsidRDefault="00830024" w:rsidP="000B1AE2">
            <w:pPr>
              <w:jc w:val="center"/>
              <w:rPr>
                <w:color w:val="auto"/>
              </w:rPr>
            </w:pPr>
            <w:r w:rsidRPr="000B1AE2">
              <w:rPr>
                <w:color w:val="auto"/>
              </w:rPr>
              <w:t>0,1</w:t>
            </w:r>
            <w:r w:rsidR="000B1AE2" w:rsidRPr="000B1AE2">
              <w:rPr>
                <w:color w:val="auto"/>
              </w:rPr>
              <w:t>62</w:t>
            </w:r>
          </w:p>
        </w:tc>
      </w:tr>
      <w:tr w:rsidR="0065621A" w:rsidRPr="00D66167" w14:paraId="0D3B8830" w14:textId="77777777" w:rsidTr="007157F4">
        <w:trPr>
          <w:trHeight w:val="315"/>
          <w:jc w:val="center"/>
        </w:trPr>
        <w:tc>
          <w:tcPr>
            <w:tcW w:w="179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tcPr>
          <w:p w14:paraId="18DB82B8" w14:textId="108BC8EF" w:rsidR="00830024" w:rsidRPr="004B04EC" w:rsidRDefault="00830024" w:rsidP="00830024">
            <w:pPr>
              <w:rPr>
                <w:color w:val="auto"/>
              </w:rPr>
            </w:pPr>
            <w:r w:rsidRPr="004B04EC">
              <w:rPr>
                <w:color w:val="auto"/>
              </w:rPr>
              <w:t>města (nad 5 tis. – 5,2 mil. ob.)</w:t>
            </w:r>
          </w:p>
        </w:tc>
        <w:tc>
          <w:tcPr>
            <w:tcW w:w="449" w:type="pct"/>
            <w:tcBorders>
              <w:top w:val="nil"/>
              <w:left w:val="nil"/>
              <w:bottom w:val="single" w:sz="4" w:space="0" w:color="auto"/>
              <w:right w:val="single" w:sz="4" w:space="0" w:color="auto"/>
            </w:tcBorders>
            <w:shd w:val="clear" w:color="auto" w:fill="auto"/>
            <w:noWrap/>
            <w:vAlign w:val="center"/>
          </w:tcPr>
          <w:p w14:paraId="38327D79" w14:textId="0D180D2B" w:rsidR="00830024" w:rsidRPr="00160547" w:rsidRDefault="00160547" w:rsidP="00160547">
            <w:pPr>
              <w:jc w:val="center"/>
              <w:rPr>
                <w:color w:val="auto"/>
              </w:rPr>
            </w:pPr>
            <w:r w:rsidRPr="00160547">
              <w:rPr>
                <w:color w:val="auto"/>
              </w:rPr>
              <w:t>2</w:t>
            </w:r>
            <w:r w:rsidR="00830024" w:rsidRPr="00160547">
              <w:rPr>
                <w:color w:val="auto"/>
              </w:rPr>
              <w:t>,</w:t>
            </w:r>
            <w:r w:rsidRPr="00160547">
              <w:rPr>
                <w:color w:val="auto"/>
              </w:rPr>
              <w:t>15</w:t>
            </w:r>
          </w:p>
        </w:tc>
        <w:tc>
          <w:tcPr>
            <w:tcW w:w="376" w:type="pct"/>
            <w:tcBorders>
              <w:top w:val="nil"/>
              <w:left w:val="nil"/>
              <w:bottom w:val="single" w:sz="4" w:space="0" w:color="auto"/>
              <w:right w:val="single" w:sz="4" w:space="0" w:color="auto"/>
            </w:tcBorders>
            <w:shd w:val="clear" w:color="auto" w:fill="auto"/>
            <w:noWrap/>
            <w:vAlign w:val="center"/>
          </w:tcPr>
          <w:p w14:paraId="04046061" w14:textId="76167794" w:rsidR="00830024" w:rsidRPr="00160547" w:rsidRDefault="00160547" w:rsidP="00830024">
            <w:pPr>
              <w:jc w:val="center"/>
              <w:rPr>
                <w:color w:val="auto"/>
              </w:rPr>
            </w:pPr>
            <w:r w:rsidRPr="00160547">
              <w:rPr>
                <w:color w:val="auto"/>
              </w:rPr>
              <w:t>39</w:t>
            </w:r>
            <w:r w:rsidR="00830024" w:rsidRPr="00160547">
              <w:rPr>
                <w:color w:val="auto"/>
              </w:rPr>
              <w:t>,3</w:t>
            </w:r>
          </w:p>
        </w:tc>
        <w:tc>
          <w:tcPr>
            <w:tcW w:w="374" w:type="pct"/>
            <w:tcBorders>
              <w:top w:val="nil"/>
              <w:left w:val="nil"/>
              <w:bottom w:val="single" w:sz="4" w:space="0" w:color="auto"/>
              <w:right w:val="single" w:sz="4" w:space="0" w:color="auto"/>
            </w:tcBorders>
            <w:shd w:val="clear" w:color="auto" w:fill="auto"/>
            <w:noWrap/>
            <w:vAlign w:val="center"/>
          </w:tcPr>
          <w:p w14:paraId="36F21F6A" w14:textId="6494ACB5" w:rsidR="00830024" w:rsidRPr="00A6481E" w:rsidRDefault="00830024" w:rsidP="00A6481E">
            <w:pPr>
              <w:jc w:val="center"/>
              <w:rPr>
                <w:color w:val="auto"/>
              </w:rPr>
            </w:pPr>
            <w:r w:rsidRPr="00A6481E">
              <w:rPr>
                <w:color w:val="auto"/>
              </w:rPr>
              <w:t>0,0</w:t>
            </w:r>
            <w:r w:rsidR="00A6481E" w:rsidRPr="00A6481E">
              <w:rPr>
                <w:color w:val="auto"/>
              </w:rPr>
              <w:t>7</w:t>
            </w:r>
          </w:p>
        </w:tc>
        <w:tc>
          <w:tcPr>
            <w:tcW w:w="374" w:type="pct"/>
            <w:tcBorders>
              <w:top w:val="nil"/>
              <w:left w:val="nil"/>
              <w:bottom w:val="single" w:sz="4" w:space="0" w:color="auto"/>
              <w:right w:val="single" w:sz="4" w:space="0" w:color="auto"/>
            </w:tcBorders>
            <w:shd w:val="clear" w:color="auto" w:fill="auto"/>
            <w:noWrap/>
            <w:vAlign w:val="center"/>
          </w:tcPr>
          <w:p w14:paraId="01ABE580" w14:textId="6716B5B9" w:rsidR="00830024" w:rsidRPr="00A6481E" w:rsidRDefault="00830024" w:rsidP="00A6481E">
            <w:pPr>
              <w:jc w:val="center"/>
              <w:rPr>
                <w:color w:val="auto"/>
              </w:rPr>
            </w:pPr>
            <w:r w:rsidRPr="00A6481E">
              <w:rPr>
                <w:color w:val="auto"/>
              </w:rPr>
              <w:t>0,3</w:t>
            </w:r>
            <w:r w:rsidR="00A6481E" w:rsidRPr="00A6481E">
              <w:rPr>
                <w:color w:val="auto"/>
              </w:rPr>
              <w:t>8</w:t>
            </w:r>
          </w:p>
        </w:tc>
        <w:tc>
          <w:tcPr>
            <w:tcW w:w="443" w:type="pct"/>
            <w:tcBorders>
              <w:top w:val="single" w:sz="4" w:space="0" w:color="auto"/>
              <w:left w:val="nil"/>
              <w:bottom w:val="single" w:sz="4" w:space="0" w:color="auto"/>
              <w:right w:val="single" w:sz="4" w:space="0" w:color="auto"/>
            </w:tcBorders>
            <w:shd w:val="clear" w:color="auto" w:fill="auto"/>
            <w:noWrap/>
            <w:vAlign w:val="center"/>
          </w:tcPr>
          <w:p w14:paraId="3A90179F" w14:textId="77777777" w:rsidR="00830024" w:rsidRPr="00A6481E" w:rsidRDefault="00830024" w:rsidP="00830024">
            <w:pPr>
              <w:jc w:val="center"/>
              <w:rPr>
                <w:color w:val="auto"/>
              </w:rPr>
            </w:pPr>
            <w:r w:rsidRPr="00A6481E">
              <w:rPr>
                <w:color w:val="auto"/>
              </w:rPr>
              <w:t>0,01</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44E70A7A" w14:textId="48E9D2D4" w:rsidR="00830024" w:rsidRPr="00A6481E" w:rsidRDefault="00830024" w:rsidP="00A6481E">
            <w:pPr>
              <w:jc w:val="center"/>
              <w:rPr>
                <w:color w:val="auto"/>
              </w:rPr>
            </w:pPr>
            <w:r w:rsidRPr="00A6481E">
              <w:rPr>
                <w:color w:val="auto"/>
              </w:rPr>
              <w:t>0,0</w:t>
            </w:r>
            <w:r w:rsidR="00A6481E" w:rsidRPr="00A6481E">
              <w:rPr>
                <w:color w:val="auto"/>
              </w:rPr>
              <w:t>5</w:t>
            </w:r>
          </w:p>
        </w:tc>
        <w:tc>
          <w:tcPr>
            <w:tcW w:w="374" w:type="pct"/>
            <w:tcBorders>
              <w:top w:val="single" w:sz="4" w:space="0" w:color="auto"/>
              <w:left w:val="nil"/>
              <w:bottom w:val="single" w:sz="4" w:space="0" w:color="auto"/>
              <w:right w:val="single" w:sz="4" w:space="0" w:color="auto"/>
            </w:tcBorders>
            <w:vAlign w:val="center"/>
          </w:tcPr>
          <w:p w14:paraId="6E89C162" w14:textId="62E9856D" w:rsidR="00830024" w:rsidRPr="000B1AE2" w:rsidRDefault="00830024" w:rsidP="000B1AE2">
            <w:pPr>
              <w:jc w:val="center"/>
              <w:rPr>
                <w:color w:val="auto"/>
              </w:rPr>
            </w:pPr>
            <w:r w:rsidRPr="000B1AE2">
              <w:rPr>
                <w:color w:val="auto"/>
              </w:rPr>
              <w:t>0,00</w:t>
            </w:r>
            <w:r w:rsidR="000B1AE2" w:rsidRPr="000B1AE2">
              <w:rPr>
                <w:color w:val="auto"/>
              </w:rPr>
              <w:t>3</w:t>
            </w:r>
          </w:p>
        </w:tc>
        <w:tc>
          <w:tcPr>
            <w:tcW w:w="432" w:type="pct"/>
            <w:tcBorders>
              <w:top w:val="single" w:sz="4" w:space="0" w:color="auto"/>
              <w:left w:val="single" w:sz="4" w:space="0" w:color="auto"/>
              <w:bottom w:val="single" w:sz="4" w:space="0" w:color="auto"/>
              <w:right w:val="single" w:sz="4" w:space="0" w:color="auto"/>
            </w:tcBorders>
            <w:vAlign w:val="center"/>
          </w:tcPr>
          <w:p w14:paraId="35CCCF5A" w14:textId="79FE1A82" w:rsidR="00830024" w:rsidRPr="000B1AE2" w:rsidRDefault="00830024" w:rsidP="000B1AE2">
            <w:pPr>
              <w:jc w:val="center"/>
              <w:rPr>
                <w:color w:val="auto"/>
              </w:rPr>
            </w:pPr>
            <w:r w:rsidRPr="000B1AE2">
              <w:rPr>
                <w:color w:val="auto"/>
              </w:rPr>
              <w:t>0,01</w:t>
            </w:r>
            <w:r w:rsidR="000B1AE2" w:rsidRPr="000B1AE2">
              <w:rPr>
                <w:color w:val="auto"/>
              </w:rPr>
              <w:t>1</w:t>
            </w:r>
          </w:p>
        </w:tc>
      </w:tr>
      <w:tr w:rsidR="0065621A" w:rsidRPr="00D66167" w14:paraId="24577CEB" w14:textId="77777777" w:rsidTr="007157F4">
        <w:trPr>
          <w:trHeight w:val="315"/>
          <w:jc w:val="center"/>
        </w:trPr>
        <w:tc>
          <w:tcPr>
            <w:tcW w:w="179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tcPr>
          <w:p w14:paraId="3FE460C5" w14:textId="77777777" w:rsidR="00830024" w:rsidRPr="004B04EC" w:rsidRDefault="00830024" w:rsidP="00830024">
            <w:pPr>
              <w:jc w:val="right"/>
              <w:rPr>
                <w:color w:val="auto"/>
              </w:rPr>
            </w:pPr>
            <w:r w:rsidRPr="004B04EC">
              <w:rPr>
                <w:color w:val="auto"/>
              </w:rPr>
              <w:t>lokality bez dopravní zátěže</w:t>
            </w:r>
          </w:p>
        </w:tc>
        <w:tc>
          <w:tcPr>
            <w:tcW w:w="449" w:type="pct"/>
            <w:tcBorders>
              <w:top w:val="nil"/>
              <w:left w:val="nil"/>
              <w:bottom w:val="single" w:sz="4" w:space="0" w:color="auto"/>
              <w:right w:val="single" w:sz="4" w:space="0" w:color="auto"/>
            </w:tcBorders>
            <w:shd w:val="clear" w:color="auto" w:fill="auto"/>
            <w:noWrap/>
            <w:vAlign w:val="center"/>
          </w:tcPr>
          <w:p w14:paraId="37613C69" w14:textId="0164DA25" w:rsidR="00830024" w:rsidRPr="00160547" w:rsidRDefault="00160547" w:rsidP="00160547">
            <w:pPr>
              <w:jc w:val="center"/>
              <w:rPr>
                <w:color w:val="auto"/>
              </w:rPr>
            </w:pPr>
            <w:r w:rsidRPr="00160547">
              <w:rPr>
                <w:color w:val="auto"/>
              </w:rPr>
              <w:t>2</w:t>
            </w:r>
            <w:r w:rsidR="00830024" w:rsidRPr="00160547">
              <w:rPr>
                <w:color w:val="auto"/>
              </w:rPr>
              <w:t>,</w:t>
            </w:r>
            <w:r w:rsidRPr="00160547">
              <w:rPr>
                <w:color w:val="auto"/>
              </w:rPr>
              <w:t>15</w:t>
            </w:r>
          </w:p>
        </w:tc>
        <w:tc>
          <w:tcPr>
            <w:tcW w:w="376" w:type="pct"/>
            <w:tcBorders>
              <w:top w:val="nil"/>
              <w:left w:val="nil"/>
              <w:bottom w:val="single" w:sz="4" w:space="0" w:color="auto"/>
              <w:right w:val="single" w:sz="4" w:space="0" w:color="auto"/>
            </w:tcBorders>
            <w:shd w:val="clear" w:color="auto" w:fill="auto"/>
            <w:noWrap/>
            <w:vAlign w:val="center"/>
          </w:tcPr>
          <w:p w14:paraId="28574FA1" w14:textId="7F2EEC0C" w:rsidR="00830024" w:rsidRPr="00160547" w:rsidRDefault="00830024" w:rsidP="00160547">
            <w:pPr>
              <w:jc w:val="center"/>
              <w:rPr>
                <w:color w:val="auto"/>
              </w:rPr>
            </w:pPr>
            <w:r w:rsidRPr="00160547">
              <w:rPr>
                <w:color w:val="auto"/>
              </w:rPr>
              <w:t>1</w:t>
            </w:r>
            <w:r w:rsidR="00160547" w:rsidRPr="00160547">
              <w:rPr>
                <w:color w:val="auto"/>
              </w:rPr>
              <w:t>4</w:t>
            </w:r>
            <w:r w:rsidRPr="00160547">
              <w:rPr>
                <w:color w:val="auto"/>
              </w:rPr>
              <w:t>,4</w:t>
            </w:r>
          </w:p>
        </w:tc>
        <w:tc>
          <w:tcPr>
            <w:tcW w:w="374" w:type="pct"/>
            <w:tcBorders>
              <w:top w:val="nil"/>
              <w:left w:val="nil"/>
              <w:bottom w:val="single" w:sz="4" w:space="0" w:color="auto"/>
              <w:right w:val="single" w:sz="4" w:space="0" w:color="auto"/>
            </w:tcBorders>
            <w:shd w:val="clear" w:color="auto" w:fill="auto"/>
            <w:noWrap/>
            <w:vAlign w:val="center"/>
          </w:tcPr>
          <w:p w14:paraId="389691E8" w14:textId="7B1ECE4E" w:rsidR="00830024" w:rsidRPr="00A6481E" w:rsidRDefault="00830024" w:rsidP="00A6481E">
            <w:pPr>
              <w:jc w:val="center"/>
              <w:rPr>
                <w:color w:val="auto"/>
              </w:rPr>
            </w:pPr>
            <w:r w:rsidRPr="00A6481E">
              <w:rPr>
                <w:color w:val="auto"/>
              </w:rPr>
              <w:t>0,0</w:t>
            </w:r>
            <w:r w:rsidR="00A6481E" w:rsidRPr="00A6481E">
              <w:rPr>
                <w:color w:val="auto"/>
              </w:rPr>
              <w:t>7</w:t>
            </w:r>
          </w:p>
        </w:tc>
        <w:tc>
          <w:tcPr>
            <w:tcW w:w="374" w:type="pct"/>
            <w:tcBorders>
              <w:top w:val="nil"/>
              <w:left w:val="nil"/>
              <w:bottom w:val="single" w:sz="4" w:space="0" w:color="auto"/>
              <w:right w:val="single" w:sz="4" w:space="0" w:color="auto"/>
            </w:tcBorders>
            <w:shd w:val="clear" w:color="auto" w:fill="auto"/>
            <w:noWrap/>
            <w:vAlign w:val="center"/>
          </w:tcPr>
          <w:p w14:paraId="03683086" w14:textId="6E93491F" w:rsidR="00830024" w:rsidRPr="00A6481E" w:rsidRDefault="00830024" w:rsidP="00A6481E">
            <w:pPr>
              <w:jc w:val="center"/>
              <w:rPr>
                <w:color w:val="auto"/>
              </w:rPr>
            </w:pPr>
            <w:r w:rsidRPr="00A6481E">
              <w:rPr>
                <w:color w:val="auto"/>
              </w:rPr>
              <w:t>0,</w:t>
            </w:r>
            <w:r w:rsidR="00A6481E" w:rsidRPr="00A6481E">
              <w:rPr>
                <w:color w:val="auto"/>
              </w:rPr>
              <w:t>22</w:t>
            </w:r>
          </w:p>
        </w:tc>
        <w:tc>
          <w:tcPr>
            <w:tcW w:w="443" w:type="pct"/>
            <w:tcBorders>
              <w:top w:val="single" w:sz="4" w:space="0" w:color="auto"/>
              <w:left w:val="nil"/>
              <w:bottom w:val="single" w:sz="4" w:space="0" w:color="auto"/>
              <w:right w:val="single" w:sz="4" w:space="0" w:color="auto"/>
            </w:tcBorders>
            <w:shd w:val="clear" w:color="auto" w:fill="auto"/>
            <w:noWrap/>
            <w:vAlign w:val="center"/>
          </w:tcPr>
          <w:p w14:paraId="4F1A43D8" w14:textId="77777777" w:rsidR="00830024" w:rsidRPr="00A6481E" w:rsidRDefault="00830024" w:rsidP="00830024">
            <w:pPr>
              <w:jc w:val="center"/>
              <w:rPr>
                <w:color w:val="auto"/>
              </w:rPr>
            </w:pPr>
            <w:r w:rsidRPr="00A6481E">
              <w:rPr>
                <w:color w:val="auto"/>
              </w:rPr>
              <w:t>0,01</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3DA99407" w14:textId="299BF288" w:rsidR="00830024" w:rsidRPr="00A6481E" w:rsidRDefault="00830024" w:rsidP="00A6481E">
            <w:pPr>
              <w:jc w:val="center"/>
              <w:rPr>
                <w:color w:val="auto"/>
              </w:rPr>
            </w:pPr>
            <w:r w:rsidRPr="00A6481E">
              <w:rPr>
                <w:color w:val="auto"/>
              </w:rPr>
              <w:t>0,0</w:t>
            </w:r>
            <w:r w:rsidR="00A6481E" w:rsidRPr="00A6481E">
              <w:rPr>
                <w:color w:val="auto"/>
              </w:rPr>
              <w:t>5</w:t>
            </w:r>
          </w:p>
        </w:tc>
        <w:tc>
          <w:tcPr>
            <w:tcW w:w="374" w:type="pct"/>
            <w:tcBorders>
              <w:top w:val="single" w:sz="4" w:space="0" w:color="auto"/>
              <w:left w:val="nil"/>
              <w:bottom w:val="single" w:sz="4" w:space="0" w:color="auto"/>
              <w:right w:val="single" w:sz="4" w:space="0" w:color="auto"/>
            </w:tcBorders>
            <w:vAlign w:val="center"/>
          </w:tcPr>
          <w:p w14:paraId="2DA0B33A" w14:textId="15085CB1" w:rsidR="00830024" w:rsidRPr="000B1AE2" w:rsidRDefault="00830024" w:rsidP="000B1AE2">
            <w:pPr>
              <w:jc w:val="center"/>
              <w:rPr>
                <w:color w:val="auto"/>
              </w:rPr>
            </w:pPr>
            <w:r w:rsidRPr="000B1AE2">
              <w:rPr>
                <w:color w:val="auto"/>
              </w:rPr>
              <w:t>0,00</w:t>
            </w:r>
            <w:r w:rsidR="000B1AE2" w:rsidRPr="000B1AE2">
              <w:rPr>
                <w:color w:val="auto"/>
              </w:rPr>
              <w:t>3</w:t>
            </w:r>
          </w:p>
        </w:tc>
        <w:tc>
          <w:tcPr>
            <w:tcW w:w="432" w:type="pct"/>
            <w:tcBorders>
              <w:top w:val="single" w:sz="4" w:space="0" w:color="auto"/>
              <w:left w:val="single" w:sz="4" w:space="0" w:color="auto"/>
              <w:bottom w:val="single" w:sz="4" w:space="0" w:color="auto"/>
              <w:right w:val="single" w:sz="4" w:space="0" w:color="auto"/>
            </w:tcBorders>
            <w:vAlign w:val="center"/>
          </w:tcPr>
          <w:p w14:paraId="09087404" w14:textId="0C8AAD32" w:rsidR="00830024" w:rsidRPr="000B1AE2" w:rsidRDefault="00830024" w:rsidP="000B1AE2">
            <w:pPr>
              <w:jc w:val="center"/>
              <w:rPr>
                <w:color w:val="auto"/>
              </w:rPr>
            </w:pPr>
            <w:r w:rsidRPr="000B1AE2">
              <w:rPr>
                <w:color w:val="auto"/>
              </w:rPr>
              <w:t>0,00</w:t>
            </w:r>
            <w:r w:rsidR="000B1AE2" w:rsidRPr="000B1AE2">
              <w:rPr>
                <w:color w:val="auto"/>
              </w:rPr>
              <w:t>8</w:t>
            </w:r>
          </w:p>
        </w:tc>
      </w:tr>
      <w:tr w:rsidR="0065621A" w:rsidRPr="00D66167" w14:paraId="741A276F" w14:textId="77777777" w:rsidTr="007157F4">
        <w:trPr>
          <w:trHeight w:val="315"/>
          <w:jc w:val="center"/>
        </w:trPr>
        <w:tc>
          <w:tcPr>
            <w:tcW w:w="179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tcPr>
          <w:p w14:paraId="4B601771" w14:textId="77777777" w:rsidR="00830024" w:rsidRPr="004B04EC" w:rsidRDefault="00830024" w:rsidP="00830024">
            <w:pPr>
              <w:jc w:val="right"/>
              <w:rPr>
                <w:color w:val="auto"/>
              </w:rPr>
            </w:pPr>
            <w:r w:rsidRPr="004B04EC">
              <w:rPr>
                <w:color w:val="auto"/>
              </w:rPr>
              <w:t>lokality s dopravní zátěží</w:t>
            </w:r>
          </w:p>
        </w:tc>
        <w:tc>
          <w:tcPr>
            <w:tcW w:w="449" w:type="pct"/>
            <w:tcBorders>
              <w:top w:val="nil"/>
              <w:left w:val="nil"/>
              <w:bottom w:val="single" w:sz="4" w:space="0" w:color="auto"/>
              <w:right w:val="single" w:sz="4" w:space="0" w:color="auto"/>
            </w:tcBorders>
            <w:shd w:val="clear" w:color="auto" w:fill="auto"/>
            <w:noWrap/>
            <w:vAlign w:val="center"/>
          </w:tcPr>
          <w:p w14:paraId="40701C3F" w14:textId="3BACBFE4" w:rsidR="00830024" w:rsidRPr="00160547" w:rsidRDefault="00830024" w:rsidP="00160547">
            <w:pPr>
              <w:jc w:val="center"/>
              <w:rPr>
                <w:color w:val="auto"/>
              </w:rPr>
            </w:pPr>
            <w:r w:rsidRPr="00160547">
              <w:rPr>
                <w:color w:val="auto"/>
              </w:rPr>
              <w:t>2,</w:t>
            </w:r>
            <w:r w:rsidR="00160547" w:rsidRPr="00160547">
              <w:rPr>
                <w:color w:val="auto"/>
              </w:rPr>
              <w:t>88</w:t>
            </w:r>
          </w:p>
        </w:tc>
        <w:tc>
          <w:tcPr>
            <w:tcW w:w="376" w:type="pct"/>
            <w:tcBorders>
              <w:top w:val="nil"/>
              <w:left w:val="nil"/>
              <w:bottom w:val="single" w:sz="4" w:space="0" w:color="auto"/>
              <w:right w:val="single" w:sz="4" w:space="0" w:color="auto"/>
            </w:tcBorders>
            <w:shd w:val="clear" w:color="auto" w:fill="auto"/>
            <w:noWrap/>
            <w:vAlign w:val="center"/>
          </w:tcPr>
          <w:p w14:paraId="27F880B1" w14:textId="4A45F717" w:rsidR="00830024" w:rsidRPr="00160547" w:rsidRDefault="00830024" w:rsidP="00160547">
            <w:pPr>
              <w:jc w:val="center"/>
              <w:rPr>
                <w:color w:val="auto"/>
              </w:rPr>
            </w:pPr>
            <w:r w:rsidRPr="00160547">
              <w:rPr>
                <w:color w:val="auto"/>
              </w:rPr>
              <w:t>1</w:t>
            </w:r>
            <w:r w:rsidR="00160547" w:rsidRPr="00160547">
              <w:rPr>
                <w:color w:val="auto"/>
              </w:rPr>
              <w:t>0</w:t>
            </w:r>
            <w:r w:rsidRPr="00160547">
              <w:rPr>
                <w:color w:val="auto"/>
              </w:rPr>
              <w:t>,</w:t>
            </w:r>
            <w:r w:rsidR="00160547" w:rsidRPr="00160547">
              <w:rPr>
                <w:color w:val="auto"/>
              </w:rPr>
              <w:t>6</w:t>
            </w:r>
          </w:p>
        </w:tc>
        <w:tc>
          <w:tcPr>
            <w:tcW w:w="374" w:type="pct"/>
            <w:tcBorders>
              <w:top w:val="nil"/>
              <w:left w:val="nil"/>
              <w:bottom w:val="single" w:sz="4" w:space="0" w:color="auto"/>
              <w:right w:val="single" w:sz="4" w:space="0" w:color="auto"/>
            </w:tcBorders>
            <w:shd w:val="clear" w:color="auto" w:fill="auto"/>
            <w:noWrap/>
            <w:vAlign w:val="center"/>
          </w:tcPr>
          <w:p w14:paraId="036DDE0C" w14:textId="3745DC0D" w:rsidR="00830024" w:rsidRPr="00A6481E" w:rsidRDefault="00830024" w:rsidP="00A6481E">
            <w:pPr>
              <w:jc w:val="center"/>
              <w:rPr>
                <w:color w:val="auto"/>
              </w:rPr>
            </w:pPr>
            <w:r w:rsidRPr="00A6481E">
              <w:rPr>
                <w:color w:val="auto"/>
              </w:rPr>
              <w:t>0,0</w:t>
            </w:r>
            <w:r w:rsidR="00A6481E" w:rsidRPr="00A6481E">
              <w:rPr>
                <w:color w:val="auto"/>
              </w:rPr>
              <w:t>8</w:t>
            </w:r>
          </w:p>
        </w:tc>
        <w:tc>
          <w:tcPr>
            <w:tcW w:w="374" w:type="pct"/>
            <w:tcBorders>
              <w:top w:val="nil"/>
              <w:left w:val="nil"/>
              <w:bottom w:val="single" w:sz="4" w:space="0" w:color="auto"/>
              <w:right w:val="single" w:sz="4" w:space="0" w:color="auto"/>
            </w:tcBorders>
            <w:shd w:val="clear" w:color="auto" w:fill="auto"/>
            <w:noWrap/>
            <w:vAlign w:val="center"/>
          </w:tcPr>
          <w:p w14:paraId="28EC1A5F" w14:textId="01EAF6AF" w:rsidR="00830024" w:rsidRPr="00A6481E" w:rsidRDefault="00830024" w:rsidP="00A6481E">
            <w:pPr>
              <w:jc w:val="center"/>
              <w:rPr>
                <w:color w:val="auto"/>
              </w:rPr>
            </w:pPr>
            <w:r w:rsidRPr="00A6481E">
              <w:rPr>
                <w:color w:val="auto"/>
              </w:rPr>
              <w:t>0,</w:t>
            </w:r>
            <w:r w:rsidR="00A6481E" w:rsidRPr="00A6481E">
              <w:rPr>
                <w:color w:val="auto"/>
              </w:rPr>
              <w:t>38</w:t>
            </w:r>
          </w:p>
        </w:tc>
        <w:tc>
          <w:tcPr>
            <w:tcW w:w="443" w:type="pct"/>
            <w:tcBorders>
              <w:top w:val="single" w:sz="4" w:space="0" w:color="auto"/>
              <w:left w:val="nil"/>
              <w:bottom w:val="single" w:sz="4" w:space="0" w:color="auto"/>
              <w:right w:val="single" w:sz="4" w:space="0" w:color="auto"/>
            </w:tcBorders>
            <w:shd w:val="clear" w:color="auto" w:fill="auto"/>
            <w:noWrap/>
            <w:vAlign w:val="center"/>
          </w:tcPr>
          <w:p w14:paraId="04BC8834" w14:textId="77777777" w:rsidR="00830024" w:rsidRPr="00A6481E" w:rsidRDefault="00830024" w:rsidP="00830024">
            <w:pPr>
              <w:jc w:val="center"/>
              <w:rPr>
                <w:color w:val="auto"/>
              </w:rPr>
            </w:pPr>
            <w:r w:rsidRPr="00A6481E">
              <w:rPr>
                <w:color w:val="auto"/>
              </w:rPr>
              <w:t>0,01</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4FC1F6A0" w14:textId="3CFAB69B" w:rsidR="00830024" w:rsidRPr="00A6481E" w:rsidRDefault="00830024" w:rsidP="00A6481E">
            <w:pPr>
              <w:jc w:val="center"/>
              <w:rPr>
                <w:color w:val="auto"/>
              </w:rPr>
            </w:pPr>
            <w:r w:rsidRPr="00A6481E">
              <w:rPr>
                <w:color w:val="auto"/>
              </w:rPr>
              <w:t>0,0</w:t>
            </w:r>
            <w:r w:rsidR="00A6481E" w:rsidRPr="00A6481E">
              <w:rPr>
                <w:color w:val="auto"/>
              </w:rPr>
              <w:t>5</w:t>
            </w:r>
          </w:p>
        </w:tc>
        <w:tc>
          <w:tcPr>
            <w:tcW w:w="374" w:type="pct"/>
            <w:tcBorders>
              <w:top w:val="single" w:sz="4" w:space="0" w:color="auto"/>
              <w:left w:val="nil"/>
              <w:bottom w:val="single" w:sz="4" w:space="0" w:color="auto"/>
              <w:right w:val="single" w:sz="4" w:space="0" w:color="auto"/>
            </w:tcBorders>
            <w:vAlign w:val="center"/>
          </w:tcPr>
          <w:p w14:paraId="5F1F39C1" w14:textId="77777777" w:rsidR="00830024" w:rsidRPr="000B1AE2" w:rsidRDefault="00830024" w:rsidP="00830024">
            <w:pPr>
              <w:jc w:val="center"/>
              <w:rPr>
                <w:color w:val="auto"/>
              </w:rPr>
            </w:pPr>
            <w:r w:rsidRPr="000B1AE2">
              <w:rPr>
                <w:color w:val="auto"/>
              </w:rPr>
              <w:t>0,004</w:t>
            </w:r>
          </w:p>
        </w:tc>
        <w:tc>
          <w:tcPr>
            <w:tcW w:w="432" w:type="pct"/>
            <w:tcBorders>
              <w:top w:val="single" w:sz="4" w:space="0" w:color="auto"/>
              <w:left w:val="single" w:sz="4" w:space="0" w:color="auto"/>
              <w:bottom w:val="single" w:sz="4" w:space="0" w:color="auto"/>
              <w:right w:val="single" w:sz="4" w:space="0" w:color="auto"/>
            </w:tcBorders>
            <w:vAlign w:val="center"/>
          </w:tcPr>
          <w:p w14:paraId="4BF794F4" w14:textId="17659B5E" w:rsidR="00830024" w:rsidRPr="000B1AE2" w:rsidRDefault="00830024" w:rsidP="000B1AE2">
            <w:pPr>
              <w:jc w:val="center"/>
              <w:rPr>
                <w:color w:val="auto"/>
              </w:rPr>
            </w:pPr>
            <w:r w:rsidRPr="000B1AE2">
              <w:rPr>
                <w:color w:val="auto"/>
              </w:rPr>
              <w:t>0,0</w:t>
            </w:r>
            <w:r w:rsidR="000B1AE2" w:rsidRPr="000B1AE2">
              <w:rPr>
                <w:color w:val="auto"/>
              </w:rPr>
              <w:t>11</w:t>
            </w:r>
          </w:p>
        </w:tc>
      </w:tr>
      <w:tr w:rsidR="0065621A" w:rsidRPr="00D66167" w14:paraId="3F12B09E" w14:textId="77777777" w:rsidTr="007157F4">
        <w:trPr>
          <w:trHeight w:val="315"/>
          <w:jc w:val="center"/>
        </w:trPr>
        <w:tc>
          <w:tcPr>
            <w:tcW w:w="179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tcPr>
          <w:p w14:paraId="2A67C284" w14:textId="77777777" w:rsidR="00830024" w:rsidRPr="004B04EC" w:rsidRDefault="00830024" w:rsidP="00830024">
            <w:pPr>
              <w:jc w:val="right"/>
              <w:rPr>
                <w:color w:val="auto"/>
              </w:rPr>
            </w:pPr>
            <w:r w:rsidRPr="004B04EC">
              <w:rPr>
                <w:color w:val="auto"/>
              </w:rPr>
              <w:t>průmyslové lokality</w:t>
            </w:r>
          </w:p>
        </w:tc>
        <w:tc>
          <w:tcPr>
            <w:tcW w:w="449" w:type="pct"/>
            <w:tcBorders>
              <w:top w:val="nil"/>
              <w:left w:val="nil"/>
              <w:bottom w:val="single" w:sz="4" w:space="0" w:color="auto"/>
              <w:right w:val="single" w:sz="4" w:space="0" w:color="auto"/>
            </w:tcBorders>
            <w:shd w:val="clear" w:color="auto" w:fill="auto"/>
            <w:noWrap/>
            <w:vAlign w:val="center"/>
          </w:tcPr>
          <w:p w14:paraId="699DF8B9" w14:textId="1EBF81C0" w:rsidR="00830024" w:rsidRPr="00160547" w:rsidRDefault="00830024" w:rsidP="00160547">
            <w:pPr>
              <w:jc w:val="center"/>
              <w:rPr>
                <w:color w:val="auto"/>
              </w:rPr>
            </w:pPr>
            <w:r w:rsidRPr="00160547">
              <w:rPr>
                <w:color w:val="auto"/>
              </w:rPr>
              <w:t>2,</w:t>
            </w:r>
            <w:r w:rsidR="00160547" w:rsidRPr="00160547">
              <w:rPr>
                <w:color w:val="auto"/>
              </w:rPr>
              <w:t>8</w:t>
            </w:r>
            <w:r w:rsidRPr="00160547">
              <w:rPr>
                <w:color w:val="auto"/>
              </w:rPr>
              <w:t>7</w:t>
            </w:r>
          </w:p>
        </w:tc>
        <w:tc>
          <w:tcPr>
            <w:tcW w:w="376" w:type="pct"/>
            <w:tcBorders>
              <w:top w:val="nil"/>
              <w:left w:val="nil"/>
              <w:bottom w:val="single" w:sz="4" w:space="0" w:color="auto"/>
              <w:right w:val="single" w:sz="4" w:space="0" w:color="auto"/>
            </w:tcBorders>
            <w:shd w:val="clear" w:color="auto" w:fill="auto"/>
            <w:noWrap/>
            <w:vAlign w:val="center"/>
          </w:tcPr>
          <w:p w14:paraId="6C5BC8F1" w14:textId="29670A25" w:rsidR="00830024" w:rsidRPr="00160547" w:rsidRDefault="00160547" w:rsidP="00830024">
            <w:pPr>
              <w:jc w:val="center"/>
              <w:rPr>
                <w:color w:val="auto"/>
              </w:rPr>
            </w:pPr>
            <w:r w:rsidRPr="00160547">
              <w:rPr>
                <w:color w:val="auto"/>
              </w:rPr>
              <w:t>39</w:t>
            </w:r>
            <w:r w:rsidR="00830024" w:rsidRPr="00160547">
              <w:rPr>
                <w:color w:val="auto"/>
              </w:rPr>
              <w:t>,3</w:t>
            </w:r>
          </w:p>
        </w:tc>
        <w:tc>
          <w:tcPr>
            <w:tcW w:w="374" w:type="pct"/>
            <w:tcBorders>
              <w:top w:val="nil"/>
              <w:left w:val="nil"/>
              <w:bottom w:val="single" w:sz="4" w:space="0" w:color="auto"/>
              <w:right w:val="single" w:sz="4" w:space="0" w:color="auto"/>
            </w:tcBorders>
            <w:shd w:val="clear" w:color="auto" w:fill="auto"/>
            <w:noWrap/>
            <w:vAlign w:val="center"/>
          </w:tcPr>
          <w:p w14:paraId="1838A96F" w14:textId="3F6959FA" w:rsidR="00830024" w:rsidRPr="00A6481E" w:rsidRDefault="00830024" w:rsidP="00A6481E">
            <w:pPr>
              <w:jc w:val="center"/>
              <w:rPr>
                <w:color w:val="auto"/>
              </w:rPr>
            </w:pPr>
            <w:r w:rsidRPr="00A6481E">
              <w:rPr>
                <w:color w:val="auto"/>
              </w:rPr>
              <w:t>0,1</w:t>
            </w:r>
            <w:r w:rsidR="00A6481E" w:rsidRPr="00A6481E">
              <w:rPr>
                <w:color w:val="auto"/>
              </w:rPr>
              <w:t>3</w:t>
            </w:r>
          </w:p>
        </w:tc>
        <w:tc>
          <w:tcPr>
            <w:tcW w:w="374" w:type="pct"/>
            <w:tcBorders>
              <w:top w:val="nil"/>
              <w:left w:val="nil"/>
              <w:bottom w:val="single" w:sz="4" w:space="0" w:color="auto"/>
              <w:right w:val="single" w:sz="4" w:space="0" w:color="auto"/>
            </w:tcBorders>
            <w:shd w:val="clear" w:color="auto" w:fill="auto"/>
            <w:noWrap/>
            <w:vAlign w:val="center"/>
          </w:tcPr>
          <w:p w14:paraId="50C8BFBF" w14:textId="082AD0C7" w:rsidR="00830024" w:rsidRPr="00A6481E" w:rsidRDefault="00830024" w:rsidP="00A6481E">
            <w:pPr>
              <w:jc w:val="center"/>
              <w:rPr>
                <w:color w:val="auto"/>
              </w:rPr>
            </w:pPr>
            <w:r w:rsidRPr="00A6481E">
              <w:rPr>
                <w:color w:val="auto"/>
              </w:rPr>
              <w:t>0,</w:t>
            </w:r>
            <w:r w:rsidR="00A6481E" w:rsidRPr="00A6481E">
              <w:rPr>
                <w:color w:val="auto"/>
              </w:rPr>
              <w:t>40</w:t>
            </w:r>
          </w:p>
        </w:tc>
        <w:tc>
          <w:tcPr>
            <w:tcW w:w="443" w:type="pct"/>
            <w:tcBorders>
              <w:top w:val="single" w:sz="4" w:space="0" w:color="auto"/>
              <w:left w:val="nil"/>
              <w:bottom w:val="single" w:sz="4" w:space="0" w:color="auto"/>
              <w:right w:val="single" w:sz="4" w:space="0" w:color="auto"/>
            </w:tcBorders>
            <w:shd w:val="clear" w:color="auto" w:fill="auto"/>
            <w:noWrap/>
            <w:vAlign w:val="center"/>
          </w:tcPr>
          <w:p w14:paraId="4070D39C" w14:textId="77777777" w:rsidR="00830024" w:rsidRPr="00A6481E" w:rsidRDefault="00830024" w:rsidP="00830024">
            <w:pPr>
              <w:jc w:val="center"/>
              <w:rPr>
                <w:color w:val="auto"/>
              </w:rPr>
            </w:pPr>
            <w:r w:rsidRPr="00A6481E">
              <w:rPr>
                <w:color w:val="auto"/>
              </w:rPr>
              <w:t>0,01</w:t>
            </w:r>
          </w:p>
        </w:tc>
        <w:tc>
          <w:tcPr>
            <w:tcW w:w="380" w:type="pct"/>
            <w:tcBorders>
              <w:top w:val="single" w:sz="4" w:space="0" w:color="auto"/>
              <w:left w:val="nil"/>
              <w:bottom w:val="single" w:sz="4" w:space="0" w:color="auto"/>
              <w:right w:val="single" w:sz="4" w:space="0" w:color="auto"/>
            </w:tcBorders>
            <w:shd w:val="clear" w:color="auto" w:fill="auto"/>
            <w:noWrap/>
            <w:vAlign w:val="center"/>
          </w:tcPr>
          <w:p w14:paraId="4372DD9D" w14:textId="0110C08F" w:rsidR="00830024" w:rsidRPr="00A6481E" w:rsidRDefault="00830024" w:rsidP="00A6481E">
            <w:pPr>
              <w:jc w:val="center"/>
              <w:rPr>
                <w:color w:val="auto"/>
              </w:rPr>
            </w:pPr>
            <w:r w:rsidRPr="00A6481E">
              <w:rPr>
                <w:color w:val="auto"/>
              </w:rPr>
              <w:t>0,</w:t>
            </w:r>
            <w:r w:rsidR="00A6481E" w:rsidRPr="00A6481E">
              <w:rPr>
                <w:color w:val="auto"/>
              </w:rPr>
              <w:t>12</w:t>
            </w:r>
          </w:p>
        </w:tc>
        <w:tc>
          <w:tcPr>
            <w:tcW w:w="374" w:type="pct"/>
            <w:tcBorders>
              <w:top w:val="single" w:sz="4" w:space="0" w:color="auto"/>
              <w:left w:val="nil"/>
              <w:bottom w:val="single" w:sz="4" w:space="0" w:color="auto"/>
              <w:right w:val="single" w:sz="4" w:space="0" w:color="auto"/>
            </w:tcBorders>
            <w:vAlign w:val="center"/>
          </w:tcPr>
          <w:p w14:paraId="28ACB6FD" w14:textId="1DE99A24" w:rsidR="00830024" w:rsidRPr="000B1AE2" w:rsidRDefault="00830024" w:rsidP="000B1AE2">
            <w:pPr>
              <w:jc w:val="center"/>
              <w:rPr>
                <w:color w:val="auto"/>
              </w:rPr>
            </w:pPr>
            <w:r w:rsidRPr="000B1AE2">
              <w:rPr>
                <w:color w:val="auto"/>
              </w:rPr>
              <w:t>0,00</w:t>
            </w:r>
            <w:r w:rsidR="000B1AE2" w:rsidRPr="000B1AE2">
              <w:rPr>
                <w:color w:val="auto"/>
              </w:rPr>
              <w:t>4</w:t>
            </w:r>
          </w:p>
        </w:tc>
        <w:tc>
          <w:tcPr>
            <w:tcW w:w="432" w:type="pct"/>
            <w:tcBorders>
              <w:top w:val="single" w:sz="4" w:space="0" w:color="auto"/>
              <w:left w:val="single" w:sz="4" w:space="0" w:color="auto"/>
              <w:bottom w:val="single" w:sz="4" w:space="0" w:color="auto"/>
              <w:right w:val="single" w:sz="4" w:space="0" w:color="auto"/>
            </w:tcBorders>
            <w:vAlign w:val="center"/>
          </w:tcPr>
          <w:p w14:paraId="04F4D16B" w14:textId="571E25C9" w:rsidR="00830024" w:rsidRPr="000B1AE2" w:rsidRDefault="00830024" w:rsidP="000B1AE2">
            <w:pPr>
              <w:jc w:val="center"/>
              <w:rPr>
                <w:color w:val="auto"/>
              </w:rPr>
            </w:pPr>
            <w:r w:rsidRPr="000B1AE2">
              <w:rPr>
                <w:color w:val="auto"/>
              </w:rPr>
              <w:t>0,0</w:t>
            </w:r>
            <w:r w:rsidR="000B1AE2" w:rsidRPr="000B1AE2">
              <w:rPr>
                <w:color w:val="auto"/>
              </w:rPr>
              <w:t>81</w:t>
            </w:r>
          </w:p>
        </w:tc>
      </w:tr>
      <w:tr w:rsidR="00F068F3" w:rsidRPr="00D66167" w14:paraId="0A10ED1C" w14:textId="77777777" w:rsidTr="007157F4">
        <w:trPr>
          <w:trHeight w:val="375"/>
          <w:jc w:val="center"/>
        </w:trPr>
        <w:tc>
          <w:tcPr>
            <w:tcW w:w="1798" w:type="pct"/>
            <w:tcBorders>
              <w:top w:val="single" w:sz="4" w:space="0" w:color="auto"/>
              <w:left w:val="single" w:sz="4" w:space="0" w:color="auto"/>
              <w:bottom w:val="nil"/>
              <w:right w:val="single" w:sz="4" w:space="0" w:color="auto"/>
            </w:tcBorders>
            <w:shd w:val="clear" w:color="auto" w:fill="B4C6E7" w:themeFill="accent1" w:themeFillTint="66"/>
            <w:noWrap/>
            <w:vAlign w:val="bottom"/>
          </w:tcPr>
          <w:p w14:paraId="4B0E6075" w14:textId="4645879D" w:rsidR="00F068F3" w:rsidRPr="004B04EC" w:rsidRDefault="00F068F3" w:rsidP="00F068F3">
            <w:pPr>
              <w:rPr>
                <w:b/>
                <w:bCs/>
                <w:color w:val="auto"/>
              </w:rPr>
            </w:pPr>
            <w:r w:rsidRPr="004B04EC">
              <w:rPr>
                <w:b/>
                <w:bCs/>
                <w:color w:val="auto"/>
              </w:rPr>
              <w:t>202</w:t>
            </w:r>
            <w:r>
              <w:rPr>
                <w:b/>
                <w:bCs/>
                <w:color w:val="auto"/>
              </w:rPr>
              <w:t>2</w:t>
            </w:r>
            <w:r w:rsidRPr="004B04EC">
              <w:rPr>
                <w:b/>
                <w:bCs/>
                <w:color w:val="auto"/>
              </w:rPr>
              <w:t xml:space="preserve"> - karcinogenní látky</w:t>
            </w:r>
          </w:p>
        </w:tc>
        <w:tc>
          <w:tcPr>
            <w:tcW w:w="826" w:type="pct"/>
            <w:gridSpan w:val="2"/>
            <w:tcBorders>
              <w:top w:val="single" w:sz="4" w:space="0" w:color="auto"/>
              <w:left w:val="nil"/>
              <w:bottom w:val="nil"/>
              <w:right w:val="single" w:sz="4" w:space="0" w:color="auto"/>
            </w:tcBorders>
            <w:shd w:val="clear" w:color="auto" w:fill="B4C6E7" w:themeFill="accent1" w:themeFillTint="66"/>
            <w:noWrap/>
            <w:vAlign w:val="bottom"/>
          </w:tcPr>
          <w:p w14:paraId="01975827" w14:textId="77777777" w:rsidR="00F068F3" w:rsidRPr="004B04EC" w:rsidRDefault="00F068F3" w:rsidP="00F068F3">
            <w:pPr>
              <w:jc w:val="center"/>
              <w:rPr>
                <w:color w:val="auto"/>
              </w:rPr>
            </w:pPr>
            <w:r w:rsidRPr="004B04EC">
              <w:rPr>
                <w:color w:val="auto"/>
              </w:rPr>
              <w:t>benzen</w:t>
            </w:r>
          </w:p>
        </w:tc>
        <w:tc>
          <w:tcPr>
            <w:tcW w:w="374" w:type="pct"/>
            <w:vMerge w:val="restart"/>
            <w:tcBorders>
              <w:top w:val="single" w:sz="4" w:space="0" w:color="auto"/>
              <w:left w:val="single" w:sz="4" w:space="0" w:color="auto"/>
              <w:right w:val="single" w:sz="4" w:space="0" w:color="auto"/>
            </w:tcBorders>
            <w:shd w:val="clear" w:color="auto" w:fill="B4C6E7" w:themeFill="accent1" w:themeFillTint="66"/>
            <w:noWrap/>
            <w:vAlign w:val="center"/>
          </w:tcPr>
          <w:p w14:paraId="69E3CC8D" w14:textId="618683A0" w:rsidR="00F068F3" w:rsidRPr="004B04EC" w:rsidRDefault="00672A19" w:rsidP="00672A19">
            <w:pPr>
              <w:jc w:val="center"/>
              <w:rPr>
                <w:b/>
                <w:color w:val="auto"/>
              </w:rPr>
            </w:pPr>
            <w:r>
              <w:rPr>
                <w:b/>
                <w:color w:val="auto"/>
              </w:rPr>
              <w:t>M</w:t>
            </w:r>
            <w:r w:rsidR="00F068F3" w:rsidRPr="004B04EC">
              <w:rPr>
                <w:b/>
                <w:color w:val="auto"/>
              </w:rPr>
              <w:t>in</w:t>
            </w:r>
          </w:p>
        </w:tc>
        <w:tc>
          <w:tcPr>
            <w:tcW w:w="374" w:type="pct"/>
            <w:vMerge w:val="restart"/>
            <w:tcBorders>
              <w:top w:val="single" w:sz="4" w:space="0" w:color="auto"/>
              <w:left w:val="single" w:sz="4" w:space="0" w:color="auto"/>
              <w:right w:val="single" w:sz="4" w:space="0" w:color="auto"/>
            </w:tcBorders>
            <w:shd w:val="clear" w:color="auto" w:fill="B4C6E7" w:themeFill="accent1" w:themeFillTint="66"/>
            <w:vAlign w:val="center"/>
          </w:tcPr>
          <w:p w14:paraId="261D7602" w14:textId="0F1861CF" w:rsidR="00F068F3" w:rsidRPr="004B04EC" w:rsidRDefault="00672A19" w:rsidP="00F068F3">
            <w:pPr>
              <w:jc w:val="center"/>
              <w:rPr>
                <w:b/>
                <w:color w:val="auto"/>
              </w:rPr>
            </w:pPr>
            <w:r>
              <w:rPr>
                <w:b/>
                <w:color w:val="auto"/>
              </w:rPr>
              <w:t>M</w:t>
            </w:r>
            <w:r w:rsidR="005C4FC1">
              <w:rPr>
                <w:b/>
                <w:color w:val="auto"/>
              </w:rPr>
              <w:t>ax</w:t>
            </w:r>
          </w:p>
        </w:tc>
        <w:tc>
          <w:tcPr>
            <w:tcW w:w="1628" w:type="pct"/>
            <w:gridSpan w:val="4"/>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183D7DD4" w14:textId="55BEA2EA" w:rsidR="00F068F3" w:rsidRPr="0065621A" w:rsidRDefault="00F068F3" w:rsidP="005C4FC1">
            <w:pPr>
              <w:jc w:val="center"/>
              <w:rPr>
                <w:color w:val="auto"/>
              </w:rPr>
            </w:pPr>
            <w:r w:rsidRPr="0065621A">
              <w:rPr>
                <w:b/>
                <w:color w:val="auto"/>
              </w:rPr>
              <w:t xml:space="preserve">celkové </w:t>
            </w:r>
            <w:r w:rsidR="005C4FC1" w:rsidRPr="0065621A">
              <w:rPr>
                <w:b/>
                <w:color w:val="auto"/>
              </w:rPr>
              <w:t xml:space="preserve">populační </w:t>
            </w:r>
            <w:r w:rsidRPr="0065621A">
              <w:rPr>
                <w:b/>
                <w:color w:val="auto"/>
              </w:rPr>
              <w:t>riziko</w:t>
            </w:r>
          </w:p>
        </w:tc>
      </w:tr>
      <w:tr w:rsidR="00672A19" w:rsidRPr="00D66167" w14:paraId="3394352C" w14:textId="77777777" w:rsidTr="007157F4">
        <w:trPr>
          <w:trHeight w:val="315"/>
          <w:jc w:val="center"/>
        </w:trPr>
        <w:tc>
          <w:tcPr>
            <w:tcW w:w="1798" w:type="pct"/>
            <w:tcBorders>
              <w:top w:val="nil"/>
              <w:left w:val="single" w:sz="4" w:space="0" w:color="auto"/>
              <w:bottom w:val="single" w:sz="4" w:space="0" w:color="auto"/>
              <w:right w:val="single" w:sz="4" w:space="0" w:color="auto"/>
            </w:tcBorders>
            <w:shd w:val="clear" w:color="auto" w:fill="B4C6E7" w:themeFill="accent1" w:themeFillTint="66"/>
            <w:noWrap/>
            <w:vAlign w:val="bottom"/>
          </w:tcPr>
          <w:p w14:paraId="4664FC66" w14:textId="56386116" w:rsidR="00672A19" w:rsidRPr="004B04EC" w:rsidRDefault="00672A19" w:rsidP="00672A19">
            <w:pPr>
              <w:rPr>
                <w:color w:val="auto"/>
              </w:rPr>
            </w:pPr>
            <w:r w:rsidRPr="004B04EC">
              <w:rPr>
                <w:color w:val="auto"/>
              </w:rPr>
              <w:t>populační riziko/70 let</w:t>
            </w:r>
          </w:p>
        </w:tc>
        <w:tc>
          <w:tcPr>
            <w:tcW w:w="449" w:type="pct"/>
            <w:tcBorders>
              <w:top w:val="nil"/>
              <w:left w:val="single" w:sz="4" w:space="0" w:color="auto"/>
              <w:bottom w:val="single" w:sz="4" w:space="0" w:color="auto"/>
              <w:right w:val="nil"/>
            </w:tcBorders>
            <w:shd w:val="clear" w:color="auto" w:fill="B4C6E7" w:themeFill="accent1" w:themeFillTint="66"/>
            <w:noWrap/>
            <w:vAlign w:val="bottom"/>
          </w:tcPr>
          <w:p w14:paraId="2B33BBDC" w14:textId="1BE6454D" w:rsidR="00672A19" w:rsidRPr="004B04EC" w:rsidRDefault="00672A19" w:rsidP="00672A19">
            <w:pPr>
              <w:jc w:val="center"/>
              <w:rPr>
                <w:color w:val="auto"/>
              </w:rPr>
            </w:pPr>
            <w:r>
              <w:rPr>
                <w:color w:val="auto"/>
              </w:rPr>
              <w:t>M</w:t>
            </w:r>
            <w:r w:rsidRPr="004B04EC">
              <w:rPr>
                <w:color w:val="auto"/>
              </w:rPr>
              <w:t>in</w:t>
            </w:r>
          </w:p>
        </w:tc>
        <w:tc>
          <w:tcPr>
            <w:tcW w:w="376" w:type="pct"/>
            <w:tcBorders>
              <w:top w:val="nil"/>
              <w:left w:val="nil"/>
              <w:bottom w:val="single" w:sz="4" w:space="0" w:color="auto"/>
              <w:right w:val="single" w:sz="4" w:space="0" w:color="auto"/>
            </w:tcBorders>
            <w:shd w:val="clear" w:color="auto" w:fill="B4C6E7" w:themeFill="accent1" w:themeFillTint="66"/>
            <w:noWrap/>
            <w:vAlign w:val="bottom"/>
          </w:tcPr>
          <w:p w14:paraId="7ABAA27D" w14:textId="70249E88" w:rsidR="00672A19" w:rsidRPr="004B04EC" w:rsidRDefault="00672A19" w:rsidP="00672A19">
            <w:pPr>
              <w:jc w:val="center"/>
              <w:rPr>
                <w:color w:val="auto"/>
              </w:rPr>
            </w:pPr>
            <w:r>
              <w:rPr>
                <w:color w:val="auto"/>
              </w:rPr>
              <w:t>M</w:t>
            </w:r>
            <w:r w:rsidRPr="004B04EC">
              <w:rPr>
                <w:color w:val="auto"/>
              </w:rPr>
              <w:t>ax</w:t>
            </w:r>
          </w:p>
        </w:tc>
        <w:tc>
          <w:tcPr>
            <w:tcW w:w="374" w:type="pct"/>
            <w:vMerge/>
            <w:tcBorders>
              <w:left w:val="single" w:sz="4" w:space="0" w:color="auto"/>
              <w:bottom w:val="single" w:sz="4" w:space="0" w:color="auto"/>
              <w:right w:val="single" w:sz="4" w:space="0" w:color="auto"/>
            </w:tcBorders>
            <w:shd w:val="clear" w:color="auto" w:fill="B4C6E7" w:themeFill="accent1" w:themeFillTint="66"/>
            <w:noWrap/>
            <w:vAlign w:val="center"/>
          </w:tcPr>
          <w:p w14:paraId="244EB198" w14:textId="77777777" w:rsidR="00672A19" w:rsidRPr="004B04EC" w:rsidRDefault="00672A19" w:rsidP="00672A19">
            <w:pPr>
              <w:jc w:val="center"/>
              <w:rPr>
                <w:b/>
                <w:color w:val="auto"/>
              </w:rPr>
            </w:pPr>
          </w:p>
        </w:tc>
        <w:tc>
          <w:tcPr>
            <w:tcW w:w="374" w:type="pct"/>
            <w:vMerge/>
            <w:tcBorders>
              <w:left w:val="single" w:sz="4" w:space="0" w:color="auto"/>
              <w:bottom w:val="single" w:sz="4" w:space="0" w:color="auto"/>
              <w:right w:val="single" w:sz="4" w:space="0" w:color="auto"/>
            </w:tcBorders>
            <w:shd w:val="clear" w:color="auto" w:fill="B4C6E7" w:themeFill="accent1" w:themeFillTint="66"/>
            <w:vAlign w:val="bottom"/>
          </w:tcPr>
          <w:p w14:paraId="2C23C14E" w14:textId="77B63651" w:rsidR="00672A19" w:rsidRPr="004B04EC" w:rsidRDefault="00672A19" w:rsidP="00672A19">
            <w:pPr>
              <w:jc w:val="center"/>
              <w:rPr>
                <w:b/>
                <w:color w:val="auto"/>
              </w:rPr>
            </w:pPr>
          </w:p>
        </w:tc>
        <w:tc>
          <w:tcPr>
            <w:tcW w:w="823"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tcPr>
          <w:p w14:paraId="1EF3159B" w14:textId="3061A7CA" w:rsidR="00672A19" w:rsidRPr="0065621A" w:rsidRDefault="00672A19" w:rsidP="00672A19">
            <w:pPr>
              <w:jc w:val="center"/>
              <w:rPr>
                <w:b/>
                <w:color w:val="auto"/>
              </w:rPr>
            </w:pPr>
            <w:r>
              <w:rPr>
                <w:b/>
                <w:color w:val="auto"/>
              </w:rPr>
              <w:t>M</w:t>
            </w:r>
            <w:r w:rsidRPr="0065621A">
              <w:rPr>
                <w:b/>
                <w:color w:val="auto"/>
              </w:rPr>
              <w:t>in</w:t>
            </w:r>
          </w:p>
        </w:tc>
        <w:tc>
          <w:tcPr>
            <w:tcW w:w="806"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tcPr>
          <w:p w14:paraId="3E829B7F" w14:textId="0C81F334" w:rsidR="00672A19" w:rsidRPr="0065621A" w:rsidRDefault="00672A19" w:rsidP="00672A19">
            <w:pPr>
              <w:jc w:val="center"/>
              <w:rPr>
                <w:b/>
                <w:color w:val="auto"/>
              </w:rPr>
            </w:pPr>
            <w:r>
              <w:rPr>
                <w:b/>
                <w:color w:val="auto"/>
              </w:rPr>
              <w:t>M</w:t>
            </w:r>
            <w:r w:rsidRPr="0065621A">
              <w:rPr>
                <w:b/>
                <w:color w:val="auto"/>
              </w:rPr>
              <w:t>ax</w:t>
            </w:r>
          </w:p>
        </w:tc>
      </w:tr>
      <w:tr w:rsidR="0065621A" w:rsidRPr="00D66167" w14:paraId="54FA6AA0" w14:textId="77777777" w:rsidTr="007157F4">
        <w:trPr>
          <w:trHeight w:val="315"/>
          <w:jc w:val="center"/>
        </w:trPr>
        <w:tc>
          <w:tcPr>
            <w:tcW w:w="179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tcPr>
          <w:p w14:paraId="57C8B140" w14:textId="77777777" w:rsidR="005C4FC1" w:rsidRPr="004B04EC" w:rsidRDefault="005C4FC1" w:rsidP="005C4FC1">
            <w:pPr>
              <w:rPr>
                <w:color w:val="auto"/>
              </w:rPr>
            </w:pPr>
            <w:r w:rsidRPr="004B04EC">
              <w:rPr>
                <w:color w:val="auto"/>
              </w:rPr>
              <w:t>ČR (10,5 mil. obyvatel)</w:t>
            </w:r>
          </w:p>
        </w:tc>
        <w:tc>
          <w:tcPr>
            <w:tcW w:w="449" w:type="pct"/>
            <w:tcBorders>
              <w:top w:val="single" w:sz="4" w:space="0" w:color="auto"/>
              <w:left w:val="nil"/>
              <w:bottom w:val="single" w:sz="4" w:space="0" w:color="auto"/>
              <w:right w:val="single" w:sz="4" w:space="0" w:color="auto"/>
            </w:tcBorders>
            <w:shd w:val="clear" w:color="auto" w:fill="auto"/>
            <w:noWrap/>
            <w:vAlign w:val="center"/>
          </w:tcPr>
          <w:p w14:paraId="4944BD0A" w14:textId="0A85A20E" w:rsidR="005C4FC1" w:rsidRPr="000B1AE2" w:rsidRDefault="005C4FC1" w:rsidP="005C4FC1">
            <w:pPr>
              <w:jc w:val="center"/>
              <w:rPr>
                <w:color w:val="auto"/>
              </w:rPr>
            </w:pPr>
            <w:r w:rsidRPr="000B1AE2">
              <w:rPr>
                <w:color w:val="auto"/>
              </w:rPr>
              <w:t>0,54</w:t>
            </w:r>
          </w:p>
        </w:tc>
        <w:tc>
          <w:tcPr>
            <w:tcW w:w="376" w:type="pct"/>
            <w:tcBorders>
              <w:top w:val="single" w:sz="4" w:space="0" w:color="auto"/>
              <w:left w:val="nil"/>
              <w:bottom w:val="single" w:sz="4" w:space="0" w:color="auto"/>
              <w:right w:val="single" w:sz="4" w:space="0" w:color="auto"/>
            </w:tcBorders>
            <w:shd w:val="clear" w:color="auto" w:fill="auto"/>
            <w:noWrap/>
            <w:vAlign w:val="center"/>
          </w:tcPr>
          <w:p w14:paraId="6D150BD6" w14:textId="7F9DC91B" w:rsidR="005C4FC1" w:rsidRPr="000B1AE2" w:rsidRDefault="005C4FC1" w:rsidP="005C4FC1">
            <w:pPr>
              <w:jc w:val="center"/>
              <w:rPr>
                <w:color w:val="auto"/>
              </w:rPr>
            </w:pPr>
            <w:r w:rsidRPr="000B1AE2">
              <w:rPr>
                <w:color w:val="auto"/>
              </w:rPr>
              <w:t>4,14</w:t>
            </w:r>
          </w:p>
        </w:tc>
        <w:tc>
          <w:tcPr>
            <w:tcW w:w="374" w:type="pct"/>
            <w:tcBorders>
              <w:top w:val="single" w:sz="4" w:space="0" w:color="auto"/>
              <w:left w:val="nil"/>
              <w:bottom w:val="single" w:sz="4" w:space="0" w:color="auto"/>
              <w:right w:val="single" w:sz="4" w:space="0" w:color="auto"/>
            </w:tcBorders>
            <w:shd w:val="clear" w:color="auto" w:fill="auto"/>
            <w:noWrap/>
            <w:vAlign w:val="center"/>
          </w:tcPr>
          <w:p w14:paraId="5B73FD76" w14:textId="14BDE66A" w:rsidR="005C4FC1" w:rsidRPr="00F068F3" w:rsidRDefault="005C4FC1" w:rsidP="005C4FC1">
            <w:pPr>
              <w:jc w:val="center"/>
              <w:rPr>
                <w:color w:val="auto"/>
              </w:rPr>
            </w:pPr>
            <w:r w:rsidRPr="00F068F3">
              <w:rPr>
                <w:color w:val="auto"/>
              </w:rPr>
              <w:t>0,003</w:t>
            </w:r>
          </w:p>
        </w:tc>
        <w:tc>
          <w:tcPr>
            <w:tcW w:w="374" w:type="pct"/>
            <w:tcBorders>
              <w:top w:val="single" w:sz="4" w:space="0" w:color="auto"/>
              <w:left w:val="nil"/>
              <w:bottom w:val="single" w:sz="4" w:space="0" w:color="auto"/>
              <w:right w:val="single" w:sz="4" w:space="0" w:color="auto"/>
            </w:tcBorders>
            <w:shd w:val="clear" w:color="auto" w:fill="auto"/>
            <w:noWrap/>
            <w:vAlign w:val="center"/>
          </w:tcPr>
          <w:p w14:paraId="0BCF874A" w14:textId="4CC4BC3D" w:rsidR="005C4FC1" w:rsidRPr="00F068F3" w:rsidRDefault="005C4FC1" w:rsidP="005C4FC1">
            <w:pPr>
              <w:jc w:val="center"/>
              <w:rPr>
                <w:color w:val="auto"/>
              </w:rPr>
            </w:pPr>
            <w:r w:rsidRPr="00F068F3">
              <w:rPr>
                <w:color w:val="auto"/>
              </w:rPr>
              <w:t>78,6</w:t>
            </w:r>
          </w:p>
        </w:tc>
        <w:tc>
          <w:tcPr>
            <w:tcW w:w="823" w:type="pct"/>
            <w:gridSpan w:val="2"/>
            <w:tcBorders>
              <w:top w:val="single" w:sz="4" w:space="0" w:color="auto"/>
              <w:left w:val="single" w:sz="4" w:space="0" w:color="auto"/>
              <w:bottom w:val="single" w:sz="4" w:space="0" w:color="auto"/>
              <w:right w:val="single" w:sz="4" w:space="0" w:color="auto"/>
            </w:tcBorders>
            <w:shd w:val="clear" w:color="auto" w:fill="auto"/>
            <w:noWrap/>
          </w:tcPr>
          <w:p w14:paraId="30E99580" w14:textId="20D3B9F8" w:rsidR="005C4FC1" w:rsidRPr="0065621A" w:rsidRDefault="005C4FC1" w:rsidP="005C4FC1">
            <w:pPr>
              <w:jc w:val="center"/>
              <w:rPr>
                <w:b/>
                <w:color w:val="auto"/>
              </w:rPr>
            </w:pPr>
            <w:r w:rsidRPr="0065621A">
              <w:rPr>
                <w:b/>
                <w:color w:val="auto"/>
              </w:rPr>
              <w:t>3,84</w:t>
            </w:r>
          </w:p>
        </w:tc>
        <w:tc>
          <w:tcPr>
            <w:tcW w:w="806" w:type="pct"/>
            <w:gridSpan w:val="2"/>
            <w:tcBorders>
              <w:top w:val="single" w:sz="4" w:space="0" w:color="auto"/>
              <w:left w:val="single" w:sz="4" w:space="0" w:color="auto"/>
              <w:bottom w:val="single" w:sz="4" w:space="0" w:color="auto"/>
              <w:right w:val="single" w:sz="4" w:space="0" w:color="auto"/>
            </w:tcBorders>
            <w:shd w:val="clear" w:color="auto" w:fill="auto"/>
          </w:tcPr>
          <w:p w14:paraId="398240BD" w14:textId="4C93D657" w:rsidR="005C4FC1" w:rsidRPr="0065621A" w:rsidRDefault="005C4FC1" w:rsidP="005C4FC1">
            <w:pPr>
              <w:jc w:val="center"/>
              <w:rPr>
                <w:b/>
                <w:color w:val="auto"/>
              </w:rPr>
            </w:pPr>
            <w:r w:rsidRPr="0065621A">
              <w:rPr>
                <w:b/>
                <w:color w:val="auto"/>
              </w:rPr>
              <w:t>84,31</w:t>
            </w:r>
          </w:p>
        </w:tc>
      </w:tr>
      <w:tr w:rsidR="0065621A" w:rsidRPr="00D66167" w14:paraId="0AF471B5" w14:textId="77777777" w:rsidTr="007157F4">
        <w:trPr>
          <w:trHeight w:val="315"/>
          <w:jc w:val="center"/>
        </w:trPr>
        <w:tc>
          <w:tcPr>
            <w:tcW w:w="179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tcPr>
          <w:p w14:paraId="25D95F68" w14:textId="77777777" w:rsidR="005C4FC1" w:rsidRPr="004B04EC" w:rsidRDefault="005C4FC1" w:rsidP="005C4FC1">
            <w:pPr>
              <w:rPr>
                <w:color w:val="auto"/>
              </w:rPr>
            </w:pPr>
            <w:r w:rsidRPr="004B04EC">
              <w:rPr>
                <w:color w:val="auto"/>
              </w:rPr>
              <w:t>města (nad 5 tis. – 5,2 mil. ob.)</w:t>
            </w:r>
          </w:p>
        </w:tc>
        <w:tc>
          <w:tcPr>
            <w:tcW w:w="449" w:type="pct"/>
            <w:tcBorders>
              <w:top w:val="nil"/>
              <w:left w:val="nil"/>
              <w:bottom w:val="single" w:sz="4" w:space="0" w:color="auto"/>
              <w:right w:val="single" w:sz="4" w:space="0" w:color="auto"/>
            </w:tcBorders>
            <w:shd w:val="clear" w:color="auto" w:fill="auto"/>
            <w:noWrap/>
            <w:vAlign w:val="center"/>
          </w:tcPr>
          <w:p w14:paraId="1F2DE61C" w14:textId="4CF43B90" w:rsidR="005C4FC1" w:rsidRPr="000B1AE2" w:rsidRDefault="005C4FC1" w:rsidP="005C4FC1">
            <w:pPr>
              <w:jc w:val="center"/>
              <w:rPr>
                <w:color w:val="auto"/>
              </w:rPr>
            </w:pPr>
            <w:r w:rsidRPr="000B1AE2">
              <w:rPr>
                <w:color w:val="auto"/>
              </w:rPr>
              <w:t>0,32</w:t>
            </w:r>
          </w:p>
        </w:tc>
        <w:tc>
          <w:tcPr>
            <w:tcW w:w="376" w:type="pct"/>
            <w:tcBorders>
              <w:top w:val="nil"/>
              <w:left w:val="nil"/>
              <w:bottom w:val="single" w:sz="4" w:space="0" w:color="auto"/>
              <w:right w:val="single" w:sz="4" w:space="0" w:color="auto"/>
            </w:tcBorders>
            <w:shd w:val="clear" w:color="auto" w:fill="auto"/>
            <w:noWrap/>
            <w:vAlign w:val="center"/>
          </w:tcPr>
          <w:p w14:paraId="3EE18508" w14:textId="4E701CB1" w:rsidR="005C4FC1" w:rsidRPr="000B1AE2" w:rsidRDefault="005C4FC1" w:rsidP="005C4FC1">
            <w:pPr>
              <w:jc w:val="center"/>
              <w:rPr>
                <w:color w:val="auto"/>
              </w:rPr>
            </w:pPr>
            <w:r w:rsidRPr="000B1AE2">
              <w:rPr>
                <w:color w:val="auto"/>
              </w:rPr>
              <w:t>2,07</w:t>
            </w:r>
          </w:p>
        </w:tc>
        <w:tc>
          <w:tcPr>
            <w:tcW w:w="374" w:type="pct"/>
            <w:tcBorders>
              <w:top w:val="nil"/>
              <w:left w:val="nil"/>
              <w:bottom w:val="single" w:sz="4" w:space="0" w:color="auto"/>
              <w:right w:val="single" w:sz="4" w:space="0" w:color="auto"/>
            </w:tcBorders>
            <w:shd w:val="clear" w:color="auto" w:fill="auto"/>
            <w:noWrap/>
            <w:vAlign w:val="center"/>
          </w:tcPr>
          <w:p w14:paraId="6CB95AF8" w14:textId="7FC80ABF" w:rsidR="005C4FC1" w:rsidRPr="00F068F3" w:rsidRDefault="005C4FC1" w:rsidP="005C4FC1">
            <w:pPr>
              <w:jc w:val="center"/>
              <w:rPr>
                <w:color w:val="auto"/>
              </w:rPr>
            </w:pPr>
            <w:r w:rsidRPr="00F068F3">
              <w:rPr>
                <w:color w:val="auto"/>
              </w:rPr>
              <w:t>0,003</w:t>
            </w:r>
          </w:p>
        </w:tc>
        <w:tc>
          <w:tcPr>
            <w:tcW w:w="374" w:type="pct"/>
            <w:tcBorders>
              <w:top w:val="nil"/>
              <w:left w:val="nil"/>
              <w:bottom w:val="single" w:sz="4" w:space="0" w:color="auto"/>
              <w:right w:val="single" w:sz="4" w:space="0" w:color="auto"/>
            </w:tcBorders>
            <w:shd w:val="clear" w:color="auto" w:fill="auto"/>
            <w:noWrap/>
            <w:vAlign w:val="center"/>
          </w:tcPr>
          <w:p w14:paraId="1DE3DED9" w14:textId="1DDE4BBE" w:rsidR="005C4FC1" w:rsidRPr="00F068F3" w:rsidRDefault="005C4FC1" w:rsidP="005C4FC1">
            <w:pPr>
              <w:jc w:val="center"/>
              <w:rPr>
                <w:color w:val="auto"/>
              </w:rPr>
            </w:pPr>
            <w:r w:rsidRPr="00F068F3">
              <w:rPr>
                <w:color w:val="auto"/>
              </w:rPr>
              <w:t>39,3</w:t>
            </w:r>
          </w:p>
        </w:tc>
        <w:tc>
          <w:tcPr>
            <w:tcW w:w="823" w:type="pct"/>
            <w:gridSpan w:val="2"/>
            <w:tcBorders>
              <w:top w:val="single" w:sz="4" w:space="0" w:color="auto"/>
              <w:left w:val="single" w:sz="4" w:space="0" w:color="auto"/>
              <w:bottom w:val="single" w:sz="4" w:space="0" w:color="auto"/>
              <w:right w:val="single" w:sz="4" w:space="0" w:color="auto"/>
            </w:tcBorders>
            <w:shd w:val="clear" w:color="auto" w:fill="auto"/>
            <w:noWrap/>
          </w:tcPr>
          <w:p w14:paraId="057190B4" w14:textId="1F67E876" w:rsidR="005C4FC1" w:rsidRPr="0065621A" w:rsidRDefault="005C4FC1" w:rsidP="005C4FC1">
            <w:pPr>
              <w:jc w:val="center"/>
              <w:rPr>
                <w:b/>
                <w:color w:val="auto"/>
              </w:rPr>
            </w:pPr>
            <w:r w:rsidRPr="0065621A">
              <w:rPr>
                <w:b/>
                <w:color w:val="auto"/>
              </w:rPr>
              <w:t>2,55</w:t>
            </w:r>
          </w:p>
        </w:tc>
        <w:tc>
          <w:tcPr>
            <w:tcW w:w="806" w:type="pct"/>
            <w:gridSpan w:val="2"/>
            <w:tcBorders>
              <w:top w:val="single" w:sz="4" w:space="0" w:color="auto"/>
              <w:left w:val="single" w:sz="4" w:space="0" w:color="auto"/>
              <w:bottom w:val="single" w:sz="4" w:space="0" w:color="auto"/>
              <w:right w:val="single" w:sz="4" w:space="0" w:color="auto"/>
            </w:tcBorders>
            <w:shd w:val="clear" w:color="auto" w:fill="auto"/>
          </w:tcPr>
          <w:p w14:paraId="6926A77E" w14:textId="3870F94C" w:rsidR="005C4FC1" w:rsidRPr="0065621A" w:rsidRDefault="005C4FC1" w:rsidP="005C4FC1">
            <w:pPr>
              <w:jc w:val="center"/>
              <w:rPr>
                <w:b/>
                <w:color w:val="auto"/>
              </w:rPr>
            </w:pPr>
            <w:r w:rsidRPr="0065621A">
              <w:rPr>
                <w:b/>
                <w:color w:val="auto"/>
              </w:rPr>
              <w:t>41,81</w:t>
            </w:r>
          </w:p>
        </w:tc>
      </w:tr>
      <w:tr w:rsidR="0065621A" w:rsidRPr="00D66167" w14:paraId="2D7C2D58" w14:textId="77777777" w:rsidTr="007157F4">
        <w:trPr>
          <w:trHeight w:val="315"/>
          <w:jc w:val="center"/>
        </w:trPr>
        <w:tc>
          <w:tcPr>
            <w:tcW w:w="179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tcPr>
          <w:p w14:paraId="5EBAD391" w14:textId="77777777" w:rsidR="005C4FC1" w:rsidRPr="004B04EC" w:rsidRDefault="005C4FC1" w:rsidP="005C4FC1">
            <w:pPr>
              <w:jc w:val="right"/>
              <w:rPr>
                <w:color w:val="auto"/>
              </w:rPr>
            </w:pPr>
            <w:r w:rsidRPr="004B04EC">
              <w:rPr>
                <w:color w:val="auto"/>
              </w:rPr>
              <w:t>lokality bez dopravní zátěže</w:t>
            </w:r>
          </w:p>
        </w:tc>
        <w:tc>
          <w:tcPr>
            <w:tcW w:w="449" w:type="pct"/>
            <w:tcBorders>
              <w:top w:val="nil"/>
              <w:left w:val="nil"/>
              <w:bottom w:val="single" w:sz="4" w:space="0" w:color="auto"/>
              <w:right w:val="single" w:sz="4" w:space="0" w:color="auto"/>
            </w:tcBorders>
            <w:shd w:val="clear" w:color="auto" w:fill="auto"/>
            <w:noWrap/>
            <w:vAlign w:val="center"/>
          </w:tcPr>
          <w:p w14:paraId="40533EF6" w14:textId="2C16D9AD" w:rsidR="005C4FC1" w:rsidRPr="000B1AE2" w:rsidRDefault="005C4FC1" w:rsidP="005C4FC1">
            <w:pPr>
              <w:jc w:val="center"/>
              <w:rPr>
                <w:color w:val="auto"/>
              </w:rPr>
            </w:pPr>
            <w:r w:rsidRPr="000B1AE2">
              <w:rPr>
                <w:color w:val="auto"/>
              </w:rPr>
              <w:t>0,32</w:t>
            </w:r>
          </w:p>
        </w:tc>
        <w:tc>
          <w:tcPr>
            <w:tcW w:w="376" w:type="pct"/>
            <w:tcBorders>
              <w:top w:val="nil"/>
              <w:left w:val="nil"/>
              <w:bottom w:val="single" w:sz="4" w:space="0" w:color="auto"/>
              <w:right w:val="single" w:sz="4" w:space="0" w:color="auto"/>
            </w:tcBorders>
            <w:shd w:val="clear" w:color="auto" w:fill="auto"/>
            <w:noWrap/>
            <w:vAlign w:val="center"/>
          </w:tcPr>
          <w:p w14:paraId="54A342AD" w14:textId="666973D2" w:rsidR="005C4FC1" w:rsidRPr="000B1AE2" w:rsidRDefault="005C4FC1" w:rsidP="005C4FC1">
            <w:pPr>
              <w:jc w:val="center"/>
              <w:rPr>
                <w:color w:val="auto"/>
              </w:rPr>
            </w:pPr>
            <w:r w:rsidRPr="000B1AE2">
              <w:rPr>
                <w:color w:val="auto"/>
              </w:rPr>
              <w:t>0,59</w:t>
            </w:r>
          </w:p>
        </w:tc>
        <w:tc>
          <w:tcPr>
            <w:tcW w:w="374" w:type="pct"/>
            <w:tcBorders>
              <w:top w:val="nil"/>
              <w:left w:val="nil"/>
              <w:bottom w:val="single" w:sz="4" w:space="0" w:color="auto"/>
              <w:right w:val="single" w:sz="4" w:space="0" w:color="auto"/>
            </w:tcBorders>
            <w:shd w:val="clear" w:color="auto" w:fill="auto"/>
            <w:noWrap/>
            <w:vAlign w:val="center"/>
          </w:tcPr>
          <w:p w14:paraId="1641C27D" w14:textId="1F535355" w:rsidR="005C4FC1" w:rsidRPr="00F068F3" w:rsidRDefault="005C4FC1" w:rsidP="005C4FC1">
            <w:pPr>
              <w:jc w:val="center"/>
              <w:rPr>
                <w:color w:val="auto"/>
              </w:rPr>
            </w:pPr>
            <w:r w:rsidRPr="00F068F3">
              <w:rPr>
                <w:color w:val="auto"/>
              </w:rPr>
              <w:t>0,003</w:t>
            </w:r>
          </w:p>
        </w:tc>
        <w:tc>
          <w:tcPr>
            <w:tcW w:w="374" w:type="pct"/>
            <w:tcBorders>
              <w:top w:val="nil"/>
              <w:left w:val="nil"/>
              <w:bottom w:val="single" w:sz="4" w:space="0" w:color="auto"/>
              <w:right w:val="single" w:sz="4" w:space="0" w:color="auto"/>
            </w:tcBorders>
            <w:shd w:val="clear" w:color="auto" w:fill="auto"/>
            <w:noWrap/>
            <w:vAlign w:val="center"/>
          </w:tcPr>
          <w:p w14:paraId="73CEEE81" w14:textId="46F869B5" w:rsidR="005C4FC1" w:rsidRPr="00F068F3" w:rsidRDefault="005C4FC1" w:rsidP="005C4FC1">
            <w:pPr>
              <w:jc w:val="center"/>
              <w:rPr>
                <w:color w:val="auto"/>
              </w:rPr>
            </w:pPr>
            <w:r w:rsidRPr="00F068F3">
              <w:rPr>
                <w:color w:val="auto"/>
              </w:rPr>
              <w:t>14,4</w:t>
            </w:r>
          </w:p>
        </w:tc>
        <w:tc>
          <w:tcPr>
            <w:tcW w:w="823" w:type="pct"/>
            <w:gridSpan w:val="2"/>
            <w:tcBorders>
              <w:top w:val="single" w:sz="4" w:space="0" w:color="auto"/>
              <w:left w:val="single" w:sz="4" w:space="0" w:color="auto"/>
              <w:bottom w:val="single" w:sz="4" w:space="0" w:color="auto"/>
              <w:right w:val="single" w:sz="4" w:space="0" w:color="auto"/>
            </w:tcBorders>
            <w:shd w:val="clear" w:color="auto" w:fill="auto"/>
            <w:noWrap/>
          </w:tcPr>
          <w:p w14:paraId="043703FC" w14:textId="3780AD2C" w:rsidR="005C4FC1" w:rsidRPr="0065621A" w:rsidRDefault="005C4FC1" w:rsidP="005C4FC1">
            <w:pPr>
              <w:jc w:val="center"/>
              <w:rPr>
                <w:b/>
                <w:color w:val="auto"/>
              </w:rPr>
            </w:pPr>
            <w:r w:rsidRPr="0065621A">
              <w:rPr>
                <w:b/>
                <w:color w:val="auto"/>
              </w:rPr>
              <w:t>2,55</w:t>
            </w:r>
          </w:p>
        </w:tc>
        <w:tc>
          <w:tcPr>
            <w:tcW w:w="806" w:type="pct"/>
            <w:gridSpan w:val="2"/>
            <w:tcBorders>
              <w:top w:val="single" w:sz="4" w:space="0" w:color="auto"/>
              <w:left w:val="single" w:sz="4" w:space="0" w:color="auto"/>
              <w:bottom w:val="single" w:sz="4" w:space="0" w:color="auto"/>
              <w:right w:val="single" w:sz="4" w:space="0" w:color="auto"/>
            </w:tcBorders>
            <w:shd w:val="clear" w:color="auto" w:fill="auto"/>
          </w:tcPr>
          <w:p w14:paraId="21394797" w14:textId="093E1194" w:rsidR="005C4FC1" w:rsidRPr="0065621A" w:rsidRDefault="005C4FC1" w:rsidP="005C4FC1">
            <w:pPr>
              <w:jc w:val="center"/>
              <w:rPr>
                <w:b/>
                <w:color w:val="auto"/>
              </w:rPr>
            </w:pPr>
            <w:r w:rsidRPr="0065621A">
              <w:rPr>
                <w:b/>
                <w:color w:val="auto"/>
              </w:rPr>
              <w:t>15,27</w:t>
            </w:r>
          </w:p>
        </w:tc>
      </w:tr>
      <w:tr w:rsidR="0065621A" w:rsidRPr="00D66167" w14:paraId="56499797" w14:textId="77777777" w:rsidTr="007157F4">
        <w:trPr>
          <w:trHeight w:val="315"/>
          <w:jc w:val="center"/>
        </w:trPr>
        <w:tc>
          <w:tcPr>
            <w:tcW w:w="179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tcPr>
          <w:p w14:paraId="0FE4595F" w14:textId="77777777" w:rsidR="005C4FC1" w:rsidRPr="004B04EC" w:rsidRDefault="005C4FC1" w:rsidP="005C4FC1">
            <w:pPr>
              <w:jc w:val="right"/>
              <w:rPr>
                <w:color w:val="auto"/>
              </w:rPr>
            </w:pPr>
            <w:r w:rsidRPr="004B04EC">
              <w:rPr>
                <w:color w:val="auto"/>
              </w:rPr>
              <w:t>lokality s dopravní zátěží</w:t>
            </w:r>
          </w:p>
        </w:tc>
        <w:tc>
          <w:tcPr>
            <w:tcW w:w="449" w:type="pct"/>
            <w:tcBorders>
              <w:top w:val="nil"/>
              <w:left w:val="nil"/>
              <w:bottom w:val="single" w:sz="4" w:space="0" w:color="auto"/>
              <w:right w:val="single" w:sz="4" w:space="0" w:color="auto"/>
            </w:tcBorders>
            <w:shd w:val="clear" w:color="auto" w:fill="auto"/>
            <w:noWrap/>
            <w:vAlign w:val="center"/>
          </w:tcPr>
          <w:p w14:paraId="4645412B" w14:textId="266EA0C5" w:rsidR="005C4FC1" w:rsidRPr="000B1AE2" w:rsidRDefault="005C4FC1" w:rsidP="005C4FC1">
            <w:pPr>
              <w:jc w:val="center"/>
              <w:rPr>
                <w:color w:val="auto"/>
              </w:rPr>
            </w:pPr>
            <w:r w:rsidRPr="000B1AE2">
              <w:rPr>
                <w:color w:val="auto"/>
              </w:rPr>
              <w:t>0,45</w:t>
            </w:r>
          </w:p>
        </w:tc>
        <w:tc>
          <w:tcPr>
            <w:tcW w:w="376" w:type="pct"/>
            <w:tcBorders>
              <w:top w:val="nil"/>
              <w:left w:val="nil"/>
              <w:bottom w:val="single" w:sz="4" w:space="0" w:color="auto"/>
              <w:right w:val="single" w:sz="4" w:space="0" w:color="auto"/>
            </w:tcBorders>
            <w:shd w:val="clear" w:color="auto" w:fill="auto"/>
            <w:noWrap/>
            <w:vAlign w:val="center"/>
          </w:tcPr>
          <w:p w14:paraId="69E1D62D" w14:textId="1BCB6F00" w:rsidR="005C4FC1" w:rsidRPr="000B1AE2" w:rsidRDefault="005C4FC1" w:rsidP="005C4FC1">
            <w:pPr>
              <w:jc w:val="center"/>
              <w:rPr>
                <w:color w:val="auto"/>
              </w:rPr>
            </w:pPr>
            <w:r w:rsidRPr="000B1AE2">
              <w:rPr>
                <w:color w:val="auto"/>
              </w:rPr>
              <w:t>0,72</w:t>
            </w:r>
          </w:p>
        </w:tc>
        <w:tc>
          <w:tcPr>
            <w:tcW w:w="374" w:type="pct"/>
            <w:tcBorders>
              <w:top w:val="nil"/>
              <w:left w:val="nil"/>
              <w:bottom w:val="single" w:sz="4" w:space="0" w:color="auto"/>
              <w:right w:val="single" w:sz="4" w:space="0" w:color="auto"/>
            </w:tcBorders>
            <w:shd w:val="clear" w:color="auto" w:fill="auto"/>
            <w:noWrap/>
            <w:vAlign w:val="center"/>
          </w:tcPr>
          <w:p w14:paraId="17E26819" w14:textId="5F8463FD" w:rsidR="005C4FC1" w:rsidRPr="00F068F3" w:rsidRDefault="005C4FC1" w:rsidP="005C4FC1">
            <w:pPr>
              <w:jc w:val="center"/>
              <w:rPr>
                <w:color w:val="auto"/>
              </w:rPr>
            </w:pPr>
            <w:r w:rsidRPr="00F068F3">
              <w:rPr>
                <w:color w:val="auto"/>
              </w:rPr>
              <w:t>0,004</w:t>
            </w:r>
          </w:p>
        </w:tc>
        <w:tc>
          <w:tcPr>
            <w:tcW w:w="374" w:type="pct"/>
            <w:tcBorders>
              <w:top w:val="nil"/>
              <w:left w:val="nil"/>
              <w:bottom w:val="single" w:sz="4" w:space="0" w:color="auto"/>
              <w:right w:val="single" w:sz="4" w:space="0" w:color="auto"/>
            </w:tcBorders>
            <w:shd w:val="clear" w:color="auto" w:fill="auto"/>
            <w:noWrap/>
            <w:vAlign w:val="center"/>
          </w:tcPr>
          <w:p w14:paraId="63C04233" w14:textId="2249BEBF" w:rsidR="005C4FC1" w:rsidRPr="00F068F3" w:rsidRDefault="005C4FC1" w:rsidP="005C4FC1">
            <w:pPr>
              <w:jc w:val="center"/>
              <w:rPr>
                <w:color w:val="auto"/>
              </w:rPr>
            </w:pPr>
            <w:r w:rsidRPr="00F068F3">
              <w:rPr>
                <w:color w:val="auto"/>
              </w:rPr>
              <w:t>10,6</w:t>
            </w:r>
          </w:p>
        </w:tc>
        <w:tc>
          <w:tcPr>
            <w:tcW w:w="823" w:type="pct"/>
            <w:gridSpan w:val="2"/>
            <w:tcBorders>
              <w:top w:val="single" w:sz="4" w:space="0" w:color="auto"/>
              <w:left w:val="single" w:sz="4" w:space="0" w:color="auto"/>
              <w:bottom w:val="single" w:sz="4" w:space="0" w:color="auto"/>
              <w:right w:val="single" w:sz="4" w:space="0" w:color="auto"/>
            </w:tcBorders>
            <w:shd w:val="clear" w:color="auto" w:fill="auto"/>
            <w:noWrap/>
          </w:tcPr>
          <w:p w14:paraId="7EBD4AFF" w14:textId="786DA30E" w:rsidR="005C4FC1" w:rsidRPr="0065621A" w:rsidRDefault="005C4FC1" w:rsidP="005C4FC1">
            <w:pPr>
              <w:jc w:val="center"/>
              <w:rPr>
                <w:b/>
                <w:color w:val="auto"/>
              </w:rPr>
            </w:pPr>
            <w:r w:rsidRPr="0065621A">
              <w:rPr>
                <w:b/>
                <w:color w:val="auto"/>
              </w:rPr>
              <w:t>3,42</w:t>
            </w:r>
          </w:p>
        </w:tc>
        <w:tc>
          <w:tcPr>
            <w:tcW w:w="806" w:type="pct"/>
            <w:gridSpan w:val="2"/>
            <w:tcBorders>
              <w:top w:val="single" w:sz="4" w:space="0" w:color="auto"/>
              <w:left w:val="single" w:sz="4" w:space="0" w:color="auto"/>
              <w:bottom w:val="single" w:sz="4" w:space="0" w:color="auto"/>
              <w:right w:val="single" w:sz="4" w:space="0" w:color="auto"/>
            </w:tcBorders>
            <w:shd w:val="clear" w:color="auto" w:fill="auto"/>
          </w:tcPr>
          <w:p w14:paraId="0D49763C" w14:textId="65A446E3" w:rsidR="005C4FC1" w:rsidRPr="0065621A" w:rsidRDefault="005C4FC1" w:rsidP="005C4FC1">
            <w:pPr>
              <w:jc w:val="center"/>
              <w:rPr>
                <w:b/>
                <w:color w:val="auto"/>
              </w:rPr>
            </w:pPr>
            <w:r w:rsidRPr="0065621A">
              <w:rPr>
                <w:b/>
                <w:color w:val="auto"/>
              </w:rPr>
              <w:t>11,76</w:t>
            </w:r>
          </w:p>
        </w:tc>
      </w:tr>
      <w:tr w:rsidR="0065621A" w:rsidRPr="00D66167" w14:paraId="29B6D863" w14:textId="77777777" w:rsidTr="007157F4">
        <w:trPr>
          <w:trHeight w:val="315"/>
          <w:jc w:val="center"/>
        </w:trPr>
        <w:tc>
          <w:tcPr>
            <w:tcW w:w="179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tcPr>
          <w:p w14:paraId="604953BF" w14:textId="77777777" w:rsidR="005C4FC1" w:rsidRPr="004B04EC" w:rsidRDefault="005C4FC1" w:rsidP="005C4FC1">
            <w:pPr>
              <w:jc w:val="right"/>
              <w:rPr>
                <w:color w:val="auto"/>
              </w:rPr>
            </w:pPr>
            <w:r w:rsidRPr="004B04EC">
              <w:rPr>
                <w:color w:val="auto"/>
              </w:rPr>
              <w:t>průmyslové lokality</w:t>
            </w:r>
          </w:p>
        </w:tc>
        <w:tc>
          <w:tcPr>
            <w:tcW w:w="449" w:type="pct"/>
            <w:tcBorders>
              <w:top w:val="nil"/>
              <w:left w:val="nil"/>
              <w:bottom w:val="single" w:sz="4" w:space="0" w:color="auto"/>
              <w:right w:val="single" w:sz="4" w:space="0" w:color="auto"/>
            </w:tcBorders>
            <w:shd w:val="clear" w:color="auto" w:fill="auto"/>
            <w:noWrap/>
            <w:vAlign w:val="center"/>
          </w:tcPr>
          <w:p w14:paraId="781EA2B2" w14:textId="76F38B5F" w:rsidR="005C4FC1" w:rsidRPr="000B1AE2" w:rsidRDefault="005C4FC1" w:rsidP="005C4FC1">
            <w:pPr>
              <w:jc w:val="center"/>
              <w:rPr>
                <w:color w:val="auto"/>
              </w:rPr>
            </w:pPr>
            <w:r w:rsidRPr="000B1AE2">
              <w:rPr>
                <w:color w:val="auto"/>
              </w:rPr>
              <w:t>0,36</w:t>
            </w:r>
          </w:p>
        </w:tc>
        <w:tc>
          <w:tcPr>
            <w:tcW w:w="376" w:type="pct"/>
            <w:tcBorders>
              <w:top w:val="nil"/>
              <w:left w:val="nil"/>
              <w:bottom w:val="single" w:sz="4" w:space="0" w:color="auto"/>
              <w:right w:val="single" w:sz="4" w:space="0" w:color="auto"/>
            </w:tcBorders>
            <w:shd w:val="clear" w:color="auto" w:fill="auto"/>
            <w:noWrap/>
            <w:vAlign w:val="center"/>
          </w:tcPr>
          <w:p w14:paraId="4A547E79" w14:textId="43B0AED4" w:rsidR="005C4FC1" w:rsidRPr="000B1AE2" w:rsidRDefault="005C4FC1" w:rsidP="005C4FC1">
            <w:pPr>
              <w:jc w:val="center"/>
              <w:rPr>
                <w:color w:val="auto"/>
              </w:rPr>
            </w:pPr>
            <w:r w:rsidRPr="000B1AE2">
              <w:rPr>
                <w:color w:val="auto"/>
              </w:rPr>
              <w:t>2,07</w:t>
            </w:r>
          </w:p>
        </w:tc>
        <w:tc>
          <w:tcPr>
            <w:tcW w:w="374" w:type="pct"/>
            <w:tcBorders>
              <w:top w:val="nil"/>
              <w:left w:val="nil"/>
              <w:bottom w:val="single" w:sz="4" w:space="0" w:color="auto"/>
              <w:right w:val="single" w:sz="4" w:space="0" w:color="auto"/>
            </w:tcBorders>
            <w:shd w:val="clear" w:color="auto" w:fill="auto"/>
            <w:noWrap/>
            <w:vAlign w:val="center"/>
          </w:tcPr>
          <w:p w14:paraId="2684D2E2" w14:textId="3DA24443" w:rsidR="005C4FC1" w:rsidRPr="00F068F3" w:rsidRDefault="005C4FC1" w:rsidP="005C4FC1">
            <w:pPr>
              <w:jc w:val="center"/>
              <w:rPr>
                <w:color w:val="auto"/>
              </w:rPr>
            </w:pPr>
            <w:r w:rsidRPr="00F068F3">
              <w:rPr>
                <w:color w:val="auto"/>
              </w:rPr>
              <w:t>0,004</w:t>
            </w:r>
          </w:p>
        </w:tc>
        <w:tc>
          <w:tcPr>
            <w:tcW w:w="374" w:type="pct"/>
            <w:tcBorders>
              <w:top w:val="nil"/>
              <w:left w:val="nil"/>
              <w:bottom w:val="single" w:sz="4" w:space="0" w:color="auto"/>
              <w:right w:val="single" w:sz="4" w:space="0" w:color="auto"/>
            </w:tcBorders>
            <w:shd w:val="clear" w:color="auto" w:fill="auto"/>
            <w:noWrap/>
            <w:vAlign w:val="center"/>
          </w:tcPr>
          <w:p w14:paraId="509AE34B" w14:textId="46CC2EE2" w:rsidR="005C4FC1" w:rsidRPr="00F068F3" w:rsidRDefault="005C4FC1" w:rsidP="005C4FC1">
            <w:pPr>
              <w:jc w:val="center"/>
              <w:rPr>
                <w:color w:val="auto"/>
              </w:rPr>
            </w:pPr>
            <w:r w:rsidRPr="00F068F3">
              <w:rPr>
                <w:color w:val="auto"/>
              </w:rPr>
              <w:t>39,3</w:t>
            </w:r>
          </w:p>
        </w:tc>
        <w:tc>
          <w:tcPr>
            <w:tcW w:w="823" w:type="pct"/>
            <w:gridSpan w:val="2"/>
            <w:tcBorders>
              <w:top w:val="single" w:sz="4" w:space="0" w:color="auto"/>
              <w:left w:val="single" w:sz="4" w:space="0" w:color="auto"/>
              <w:bottom w:val="single" w:sz="4" w:space="0" w:color="auto"/>
              <w:right w:val="single" w:sz="4" w:space="0" w:color="auto"/>
            </w:tcBorders>
            <w:shd w:val="clear" w:color="auto" w:fill="auto"/>
            <w:noWrap/>
          </w:tcPr>
          <w:p w14:paraId="0947D2D2" w14:textId="7E282698" w:rsidR="005C4FC1" w:rsidRPr="0065621A" w:rsidRDefault="005C4FC1" w:rsidP="005C4FC1">
            <w:pPr>
              <w:jc w:val="center"/>
              <w:rPr>
                <w:b/>
                <w:color w:val="auto"/>
              </w:rPr>
            </w:pPr>
            <w:r w:rsidRPr="0065621A">
              <w:rPr>
                <w:b/>
                <w:color w:val="auto"/>
              </w:rPr>
              <w:t>3,37</w:t>
            </w:r>
          </w:p>
        </w:tc>
        <w:tc>
          <w:tcPr>
            <w:tcW w:w="806" w:type="pct"/>
            <w:gridSpan w:val="2"/>
            <w:tcBorders>
              <w:top w:val="single" w:sz="4" w:space="0" w:color="auto"/>
              <w:left w:val="single" w:sz="4" w:space="0" w:color="auto"/>
              <w:bottom w:val="single" w:sz="4" w:space="0" w:color="auto"/>
              <w:right w:val="single" w:sz="4" w:space="0" w:color="auto"/>
            </w:tcBorders>
            <w:shd w:val="clear" w:color="auto" w:fill="auto"/>
          </w:tcPr>
          <w:p w14:paraId="0450C589" w14:textId="40BED25E" w:rsidR="005C4FC1" w:rsidRPr="0065621A" w:rsidRDefault="005C4FC1" w:rsidP="005C4FC1">
            <w:pPr>
              <w:jc w:val="center"/>
              <w:rPr>
                <w:b/>
                <w:color w:val="auto"/>
              </w:rPr>
            </w:pPr>
            <w:r w:rsidRPr="0065621A">
              <w:rPr>
                <w:b/>
                <w:color w:val="auto"/>
              </w:rPr>
              <w:t>41,97</w:t>
            </w:r>
          </w:p>
        </w:tc>
      </w:tr>
    </w:tbl>
    <w:p w14:paraId="588831AD" w14:textId="742815ED" w:rsidR="00830024" w:rsidRPr="00F068F3" w:rsidRDefault="00830024" w:rsidP="00830024">
      <w:pPr>
        <w:spacing w:before="120"/>
        <w:jc w:val="both"/>
        <w:rPr>
          <w:b/>
          <w:color w:val="auto"/>
          <w:sz w:val="22"/>
          <w:szCs w:val="22"/>
        </w:rPr>
      </w:pPr>
      <w:r w:rsidRPr="00F068F3">
        <w:rPr>
          <w:color w:val="auto"/>
          <w:sz w:val="22"/>
          <w:szCs w:val="22"/>
        </w:rPr>
        <w:lastRenderedPageBreak/>
        <w:t xml:space="preserve">Výše hodnocené látky s karcinogenním působením mohly v podmínkách ČR zvýšit riziko vzniku nádorového onemocnění za 70 let celoživotní expozice, podle typu lokality, o 1 až </w:t>
      </w:r>
      <w:r w:rsidRPr="00F068F3">
        <w:rPr>
          <w:color w:val="auto"/>
          <w:sz w:val="22"/>
          <w:szCs w:val="22"/>
        </w:rPr>
        <w:br/>
      </w:r>
      <w:r w:rsidR="0065621A">
        <w:rPr>
          <w:color w:val="auto"/>
          <w:sz w:val="22"/>
          <w:szCs w:val="22"/>
        </w:rPr>
        <w:t>6</w:t>
      </w:r>
      <w:r w:rsidRPr="00F068F3">
        <w:rPr>
          <w:color w:val="auto"/>
          <w:sz w:val="22"/>
          <w:szCs w:val="22"/>
        </w:rPr>
        <w:t xml:space="preserve"> případů na 10 tisíc obyvatel. Situace byla srovnatelná s roky 2019 a</w:t>
      </w:r>
      <w:r w:rsidR="00F068F3" w:rsidRPr="00F068F3">
        <w:rPr>
          <w:color w:val="auto"/>
          <w:sz w:val="22"/>
          <w:szCs w:val="22"/>
        </w:rPr>
        <w:t>ž</w:t>
      </w:r>
      <w:r w:rsidRPr="00F068F3">
        <w:rPr>
          <w:color w:val="auto"/>
          <w:sz w:val="22"/>
          <w:szCs w:val="22"/>
        </w:rPr>
        <w:t xml:space="preserve"> 202</w:t>
      </w:r>
      <w:r w:rsidR="00F068F3" w:rsidRPr="00F068F3">
        <w:rPr>
          <w:color w:val="auto"/>
          <w:sz w:val="22"/>
          <w:szCs w:val="22"/>
        </w:rPr>
        <w:t>1</w:t>
      </w:r>
      <w:r w:rsidRPr="00F068F3">
        <w:rPr>
          <w:color w:val="auto"/>
          <w:sz w:val="22"/>
          <w:szCs w:val="22"/>
        </w:rPr>
        <w:t>.</w:t>
      </w:r>
    </w:p>
    <w:p w14:paraId="5B1702BF" w14:textId="3BB6BA09" w:rsidR="00830024" w:rsidRPr="00D66167" w:rsidRDefault="00830024" w:rsidP="00830024">
      <w:pPr>
        <w:rPr>
          <w:b/>
          <w:color w:val="FF0000"/>
          <w:sz w:val="22"/>
          <w:szCs w:val="22"/>
        </w:rPr>
      </w:pPr>
    </w:p>
    <w:p w14:paraId="1CD13F97" w14:textId="0ACEBF4C" w:rsidR="00830024" w:rsidRPr="00134AA1" w:rsidRDefault="00830024" w:rsidP="00830024">
      <w:pPr>
        <w:pStyle w:val="Nadpis2"/>
        <w:keepLines w:val="0"/>
        <w:numPr>
          <w:ilvl w:val="0"/>
          <w:numId w:val="13"/>
        </w:numPr>
        <w:autoSpaceDE/>
        <w:autoSpaceDN/>
        <w:adjustRightInd/>
        <w:spacing w:before="0" w:line="240" w:lineRule="auto"/>
        <w:textAlignment w:val="auto"/>
        <w:rPr>
          <w:sz w:val="28"/>
          <w:szCs w:val="28"/>
        </w:rPr>
      </w:pPr>
      <w:r w:rsidRPr="00134AA1">
        <w:rPr>
          <w:sz w:val="28"/>
          <w:szCs w:val="28"/>
        </w:rPr>
        <w:t>Diskuze a nejistoty odhadu</w:t>
      </w:r>
    </w:p>
    <w:p w14:paraId="22815468" w14:textId="00480FAB" w:rsidR="00830024" w:rsidRPr="006B45B7" w:rsidRDefault="00830024" w:rsidP="006B45B7">
      <w:pPr>
        <w:pStyle w:val="DefaultText1"/>
        <w:spacing w:before="120" w:line="276" w:lineRule="auto"/>
        <w:jc w:val="both"/>
        <w:rPr>
          <w:rFonts w:ascii="Mulish" w:hAnsi="Mulish"/>
          <w:sz w:val="22"/>
          <w:szCs w:val="22"/>
        </w:rPr>
      </w:pPr>
      <w:r w:rsidRPr="006B45B7">
        <w:rPr>
          <w:rFonts w:ascii="Mulish" w:hAnsi="Mulish"/>
          <w:sz w:val="22"/>
          <w:szCs w:val="22"/>
        </w:rPr>
        <w:t xml:space="preserve">Odhad zdravotních rizik je zatížen řadou nejistot, vyplývajících z použitých dat a postupů. </w:t>
      </w:r>
      <w:r w:rsidRPr="006B45B7">
        <w:rPr>
          <w:rFonts w:ascii="Mulish" w:hAnsi="Mulish"/>
          <w:sz w:val="22"/>
          <w:szCs w:val="22"/>
        </w:rPr>
        <w:br/>
        <w:t>Je to dáno tím, že řada vstupních dat je výsledkem aproximací a modelů, které doplňují chybějící data nutná pro vyhodnocení. Proto je jejich popis nedílnou součástí odhadu a je potřeba mít je na vědomí při jakémkoliv dalším používání uvedených závěrů. To platí např. pro oxidy dusíku</w:t>
      </w:r>
      <w:r w:rsidR="001E1321">
        <w:rPr>
          <w:rFonts w:ascii="Mulish" w:hAnsi="Mulish"/>
          <w:sz w:val="22"/>
          <w:szCs w:val="22"/>
        </w:rPr>
        <w:t>, jejichž působení z velké části pokrývá hodnocení suspendovaných částic frakce PM</w:t>
      </w:r>
      <w:r w:rsidR="001E1321" w:rsidRPr="001E1321">
        <w:rPr>
          <w:rFonts w:ascii="Mulish" w:hAnsi="Mulish"/>
          <w:sz w:val="22"/>
          <w:szCs w:val="22"/>
          <w:vertAlign w:val="subscript"/>
        </w:rPr>
        <w:t>10</w:t>
      </w:r>
      <w:r w:rsidRPr="006B45B7">
        <w:rPr>
          <w:rFonts w:ascii="Mulish" w:hAnsi="Mulish"/>
          <w:sz w:val="22"/>
          <w:szCs w:val="22"/>
        </w:rPr>
        <w:t xml:space="preserve">. Provedený odhad rizika vybraných látek z ovzduší je zatížen následujícími nejistotami: </w:t>
      </w:r>
    </w:p>
    <w:p w14:paraId="568FD75F" w14:textId="6E709101" w:rsidR="00830024" w:rsidRPr="006B45B7" w:rsidRDefault="00830024" w:rsidP="006B45B7">
      <w:pPr>
        <w:pStyle w:val="Znaka"/>
        <w:numPr>
          <w:ilvl w:val="0"/>
          <w:numId w:val="1"/>
        </w:numPr>
        <w:tabs>
          <w:tab w:val="clear" w:pos="288"/>
          <w:tab w:val="left" w:pos="426"/>
          <w:tab w:val="left" w:pos="856"/>
        </w:tabs>
        <w:spacing w:line="276" w:lineRule="auto"/>
        <w:jc w:val="both"/>
        <w:rPr>
          <w:rFonts w:ascii="Mulish" w:hAnsi="Mulish"/>
          <w:sz w:val="22"/>
          <w:szCs w:val="22"/>
        </w:rPr>
      </w:pPr>
      <w:r w:rsidRPr="006B45B7">
        <w:rPr>
          <w:rFonts w:ascii="Mulish" w:hAnsi="Mulish"/>
          <w:sz w:val="22"/>
          <w:szCs w:val="22"/>
        </w:rPr>
        <w:t>Odhad předčasné úmrtnosti vychází ze studií, ve kterých byly pro charakterizaci znečištění ovzduší použity výsledky měření suspendovaných částic frakce PM</w:t>
      </w:r>
      <w:r w:rsidRPr="006B45B7">
        <w:rPr>
          <w:rFonts w:ascii="Mulish" w:hAnsi="Mulish"/>
          <w:sz w:val="22"/>
          <w:szCs w:val="22"/>
          <w:vertAlign w:val="subscript"/>
        </w:rPr>
        <w:t>2,5</w:t>
      </w:r>
      <w:r w:rsidRPr="006B45B7">
        <w:rPr>
          <w:rFonts w:ascii="Mulish" w:hAnsi="Mulish"/>
          <w:sz w:val="22"/>
          <w:szCs w:val="22"/>
        </w:rPr>
        <w:t xml:space="preserve">. Tento přístup akcentuje i doporučení WHO. </w:t>
      </w:r>
      <w:r w:rsidRPr="006B45B7">
        <w:rPr>
          <w:rFonts w:ascii="Mulish" w:hAnsi="Mulish"/>
          <w:b/>
          <w:sz w:val="22"/>
          <w:szCs w:val="22"/>
        </w:rPr>
        <w:t>Zde je, z důvodu vyššího počtu stanic měř</w:t>
      </w:r>
      <w:r w:rsidR="001376C2">
        <w:rPr>
          <w:rFonts w:ascii="Mulish" w:hAnsi="Mulish"/>
          <w:b/>
          <w:sz w:val="22"/>
          <w:szCs w:val="22"/>
        </w:rPr>
        <w:t>í</w:t>
      </w:r>
      <w:r w:rsidRPr="006B45B7">
        <w:rPr>
          <w:rFonts w:ascii="Mulish" w:hAnsi="Mulish"/>
          <w:b/>
          <w:sz w:val="22"/>
          <w:szCs w:val="22"/>
        </w:rPr>
        <w:t>cích frakci PM</w:t>
      </w:r>
      <w:r w:rsidRPr="006B45B7">
        <w:rPr>
          <w:rFonts w:ascii="Mulish" w:hAnsi="Mulish"/>
          <w:b/>
          <w:sz w:val="22"/>
          <w:szCs w:val="22"/>
          <w:vertAlign w:val="subscript"/>
        </w:rPr>
        <w:t>10</w:t>
      </w:r>
      <w:r w:rsidRPr="006B45B7">
        <w:rPr>
          <w:rFonts w:ascii="Mulish" w:hAnsi="Mulish"/>
          <w:b/>
          <w:sz w:val="22"/>
          <w:szCs w:val="22"/>
        </w:rPr>
        <w:t xml:space="preserve">, použit </w:t>
      </w:r>
      <w:r w:rsidR="006B45B7" w:rsidRPr="006B45B7">
        <w:rPr>
          <w:rFonts w:ascii="Mulish" w:hAnsi="Mulish"/>
          <w:b/>
          <w:sz w:val="22"/>
          <w:szCs w:val="22"/>
        </w:rPr>
        <w:t xml:space="preserve">i </w:t>
      </w:r>
      <w:r w:rsidRPr="006B45B7">
        <w:rPr>
          <w:rFonts w:ascii="Mulish" w:hAnsi="Mulish"/>
          <w:b/>
          <w:sz w:val="22"/>
          <w:szCs w:val="22"/>
        </w:rPr>
        <w:t>přepočet přes frakci PM</w:t>
      </w:r>
      <w:r w:rsidRPr="006B45B7">
        <w:rPr>
          <w:rFonts w:ascii="Mulish" w:hAnsi="Mulish"/>
          <w:b/>
          <w:sz w:val="22"/>
          <w:szCs w:val="22"/>
          <w:vertAlign w:val="subscript"/>
        </w:rPr>
        <w:t>10</w:t>
      </w:r>
      <w:r w:rsidRPr="006B45B7">
        <w:rPr>
          <w:rFonts w:ascii="Mulish" w:hAnsi="Mulish"/>
          <w:b/>
          <w:sz w:val="22"/>
          <w:szCs w:val="22"/>
        </w:rPr>
        <w:t>.</w:t>
      </w:r>
    </w:p>
    <w:p w14:paraId="67463D30" w14:textId="77777777" w:rsidR="00830024" w:rsidRPr="006B45B7" w:rsidRDefault="00830024" w:rsidP="006B45B7">
      <w:pPr>
        <w:pStyle w:val="Znaka"/>
        <w:numPr>
          <w:ilvl w:val="0"/>
          <w:numId w:val="1"/>
        </w:numPr>
        <w:tabs>
          <w:tab w:val="clear" w:pos="288"/>
          <w:tab w:val="left" w:pos="426"/>
          <w:tab w:val="left" w:pos="856"/>
        </w:tabs>
        <w:spacing w:line="276" w:lineRule="auto"/>
        <w:jc w:val="both"/>
        <w:rPr>
          <w:rFonts w:ascii="Mulish" w:hAnsi="Mulish"/>
          <w:sz w:val="22"/>
          <w:szCs w:val="22"/>
        </w:rPr>
      </w:pPr>
      <w:r w:rsidRPr="006B45B7">
        <w:rPr>
          <w:rFonts w:ascii="Mulish" w:hAnsi="Mulish"/>
          <w:sz w:val="22"/>
          <w:szCs w:val="22"/>
        </w:rPr>
        <w:t>Karcinogenní riziko hodnocené pomocí jednotek rizika odvozených lineární extrapolací z působení vysokých koncentrací nemusí odpovídat nízkým expozičním koncentracím, které se vyskytují ve venkovním ovzduší. Přesto je standardně používáno s vědomím, že představuje horní mez odhadu rizika a reálné riziko je pravděpodobně nižší.</w:t>
      </w:r>
    </w:p>
    <w:p w14:paraId="0CA646F0" w14:textId="51CCC079" w:rsidR="00830024" w:rsidRPr="006B45B7" w:rsidRDefault="00830024" w:rsidP="006B45B7">
      <w:pPr>
        <w:pStyle w:val="Znaka"/>
        <w:numPr>
          <w:ilvl w:val="0"/>
          <w:numId w:val="1"/>
        </w:numPr>
        <w:tabs>
          <w:tab w:val="clear" w:pos="288"/>
          <w:tab w:val="left" w:pos="426"/>
          <w:tab w:val="left" w:pos="856"/>
        </w:tabs>
        <w:spacing w:line="276" w:lineRule="auto"/>
        <w:jc w:val="both"/>
        <w:rPr>
          <w:rFonts w:ascii="Mulish" w:hAnsi="Mulish"/>
          <w:sz w:val="22"/>
          <w:szCs w:val="22"/>
        </w:rPr>
      </w:pPr>
      <w:r w:rsidRPr="006B45B7">
        <w:rPr>
          <w:rFonts w:ascii="Mulish" w:hAnsi="Mulish"/>
          <w:sz w:val="22"/>
          <w:szCs w:val="22"/>
        </w:rPr>
        <w:t xml:space="preserve">Použitý screeningový expoziční scénář uvažuje nejnepříznivější variantu (horní mez), která předpokládá, že lidé jsou vystaveni hodnoceným koncentracím celých 24 hodin. Tento přístup může nadhodnocovat míru rizika z venkovního ovzduší. Ve speciálních případech, kdy hodnocení celoživotní expozice z venkovního ovzduší (70 let) vychází z odhadu skutečné střední doby pobytu lidí ve venkovním prostředí (2 hodiny/24 hodin), je zapotřebí vynásobit uváděné hodnoty koeficientem 0,083. Při tomto přístupu ovšem chybí v expozičním scénáři expozice z vnitřního prostředí.   </w:t>
      </w:r>
    </w:p>
    <w:p w14:paraId="61FC1943" w14:textId="77777777" w:rsidR="00830024" w:rsidRPr="006B45B7" w:rsidRDefault="00830024" w:rsidP="006B45B7">
      <w:pPr>
        <w:pStyle w:val="Znaka"/>
        <w:numPr>
          <w:ilvl w:val="0"/>
          <w:numId w:val="1"/>
        </w:numPr>
        <w:tabs>
          <w:tab w:val="clear" w:pos="288"/>
          <w:tab w:val="left" w:pos="426"/>
          <w:tab w:val="left" w:pos="856"/>
        </w:tabs>
        <w:spacing w:line="276" w:lineRule="auto"/>
        <w:jc w:val="both"/>
        <w:rPr>
          <w:rFonts w:ascii="Mulish" w:hAnsi="Mulish"/>
          <w:sz w:val="22"/>
          <w:szCs w:val="22"/>
        </w:rPr>
      </w:pPr>
      <w:r w:rsidRPr="006B45B7">
        <w:rPr>
          <w:rFonts w:ascii="Mulish" w:hAnsi="Mulish"/>
          <w:sz w:val="22"/>
          <w:szCs w:val="22"/>
        </w:rPr>
        <w:t>Jako expoziční koncentrace je brána střední hodnota z koncentrací změřených na stacionárních stanicích charakterizujících určitý definovaný typ městské lokality/kategorie, kterou ale není možno provázat s konkrétním počtem obyvatel, kteří jsou takto exponováni.</w:t>
      </w:r>
    </w:p>
    <w:p w14:paraId="1F620266" w14:textId="57E06E29" w:rsidR="00830024" w:rsidRPr="006B45B7" w:rsidRDefault="00830024" w:rsidP="006B45B7">
      <w:pPr>
        <w:pStyle w:val="Znaka"/>
        <w:numPr>
          <w:ilvl w:val="0"/>
          <w:numId w:val="1"/>
        </w:numPr>
        <w:tabs>
          <w:tab w:val="clear" w:pos="288"/>
          <w:tab w:val="left" w:pos="426"/>
          <w:tab w:val="left" w:pos="856"/>
        </w:tabs>
        <w:spacing w:line="276" w:lineRule="auto"/>
        <w:jc w:val="both"/>
        <w:rPr>
          <w:rFonts w:ascii="Mulish" w:hAnsi="Mulish"/>
          <w:sz w:val="22"/>
          <w:szCs w:val="22"/>
        </w:rPr>
      </w:pPr>
      <w:r w:rsidRPr="006B45B7">
        <w:rPr>
          <w:rFonts w:ascii="Mulish" w:hAnsi="Mulish"/>
          <w:sz w:val="22"/>
          <w:szCs w:val="22"/>
        </w:rPr>
        <w:t xml:space="preserve">Nejistota provázející nemožnost odhadnout rizika pro všechny potenciální karcinogenní látky v ovzduší (pro absenci dat a vztahů). </w:t>
      </w:r>
    </w:p>
    <w:p w14:paraId="57EEF5B5" w14:textId="678DD2CF" w:rsidR="006B45B7" w:rsidRPr="006B45B7" w:rsidRDefault="006B45B7" w:rsidP="006B45B7">
      <w:pPr>
        <w:pStyle w:val="Znaka"/>
        <w:numPr>
          <w:ilvl w:val="0"/>
          <w:numId w:val="1"/>
        </w:numPr>
        <w:tabs>
          <w:tab w:val="clear" w:pos="288"/>
          <w:tab w:val="left" w:pos="426"/>
          <w:tab w:val="left" w:pos="856"/>
        </w:tabs>
        <w:spacing w:line="276" w:lineRule="auto"/>
        <w:jc w:val="both"/>
        <w:rPr>
          <w:rFonts w:ascii="Mulish" w:hAnsi="Mulish"/>
          <w:sz w:val="22"/>
          <w:szCs w:val="22"/>
        </w:rPr>
      </w:pPr>
      <w:r w:rsidRPr="006B45B7">
        <w:rPr>
          <w:rFonts w:ascii="Mulish" w:hAnsi="Mulish"/>
          <w:sz w:val="22"/>
          <w:szCs w:val="22"/>
        </w:rPr>
        <w:t xml:space="preserve">Spočtené hodnoty pro As, Cd a Ni, vzhledem k významnému výpadku měření v roce 2022, </w:t>
      </w:r>
      <w:r w:rsidR="00DD3EED">
        <w:rPr>
          <w:rFonts w:ascii="Mulish" w:hAnsi="Mulish"/>
          <w:sz w:val="22"/>
          <w:szCs w:val="22"/>
        </w:rPr>
        <w:t>mají omezený význam při</w:t>
      </w:r>
      <w:r w:rsidRPr="006B45B7">
        <w:rPr>
          <w:rFonts w:ascii="Mulish" w:hAnsi="Mulish"/>
          <w:sz w:val="22"/>
          <w:szCs w:val="22"/>
        </w:rPr>
        <w:t xml:space="preserve"> srovnáv</w:t>
      </w:r>
      <w:r w:rsidR="00DD3EED">
        <w:rPr>
          <w:rFonts w:ascii="Mulish" w:hAnsi="Mulish"/>
          <w:sz w:val="22"/>
          <w:szCs w:val="22"/>
        </w:rPr>
        <w:t>ání</w:t>
      </w:r>
      <w:r w:rsidRPr="006B45B7">
        <w:rPr>
          <w:rFonts w:ascii="Mulish" w:hAnsi="Mulish"/>
          <w:sz w:val="22"/>
          <w:szCs w:val="22"/>
        </w:rPr>
        <w:t xml:space="preserve"> s dlouhodobými trendy. </w:t>
      </w:r>
    </w:p>
    <w:p w14:paraId="0E02BB7B" w14:textId="77777777" w:rsidR="00830024" w:rsidRPr="00D66167" w:rsidRDefault="00830024" w:rsidP="00830024">
      <w:pPr>
        <w:pStyle w:val="Nadpis2"/>
        <w:rPr>
          <w:b w:val="0"/>
          <w:color w:val="FF0000"/>
          <w:sz w:val="22"/>
          <w:szCs w:val="22"/>
        </w:rPr>
      </w:pPr>
    </w:p>
    <w:p w14:paraId="19DF088C" w14:textId="7F4C9493" w:rsidR="00830024" w:rsidRPr="00D66167" w:rsidRDefault="00830024" w:rsidP="00830024">
      <w:pPr>
        <w:rPr>
          <w:b/>
          <w:color w:val="FF0000"/>
          <w:sz w:val="22"/>
          <w:szCs w:val="22"/>
        </w:rPr>
      </w:pPr>
      <w:bookmarkStart w:id="9" w:name="_Toc45375712"/>
      <w:bookmarkStart w:id="10" w:name="_Toc45375824"/>
      <w:bookmarkStart w:id="11" w:name="_Toc45375895"/>
      <w:bookmarkStart w:id="12" w:name="_Toc45376095"/>
      <w:bookmarkStart w:id="13" w:name="_Toc45591869"/>
      <w:bookmarkStart w:id="14" w:name="_Toc73173844"/>
      <w:bookmarkStart w:id="15" w:name="_Toc73173955"/>
      <w:bookmarkStart w:id="16" w:name="_Toc73174057"/>
      <w:bookmarkStart w:id="17" w:name="_Toc73178233"/>
      <w:bookmarkStart w:id="18" w:name="_Toc73178361"/>
      <w:bookmarkStart w:id="19" w:name="_Toc73415652"/>
      <w:bookmarkStart w:id="20" w:name="_Toc73415716"/>
      <w:bookmarkStart w:id="21" w:name="_Toc170269977"/>
    </w:p>
    <w:bookmarkEnd w:id="9"/>
    <w:bookmarkEnd w:id="10"/>
    <w:bookmarkEnd w:id="11"/>
    <w:bookmarkEnd w:id="12"/>
    <w:bookmarkEnd w:id="13"/>
    <w:bookmarkEnd w:id="14"/>
    <w:bookmarkEnd w:id="15"/>
    <w:bookmarkEnd w:id="16"/>
    <w:bookmarkEnd w:id="17"/>
    <w:bookmarkEnd w:id="18"/>
    <w:bookmarkEnd w:id="19"/>
    <w:bookmarkEnd w:id="20"/>
    <w:bookmarkEnd w:id="21"/>
    <w:p w14:paraId="1C579271" w14:textId="4D6953DB" w:rsidR="00830024" w:rsidRPr="00134AA1" w:rsidRDefault="001E1321" w:rsidP="00830024">
      <w:pPr>
        <w:pStyle w:val="Nadpis2"/>
        <w:keepLines w:val="0"/>
        <w:numPr>
          <w:ilvl w:val="0"/>
          <w:numId w:val="13"/>
        </w:numPr>
        <w:autoSpaceDE/>
        <w:autoSpaceDN/>
        <w:adjustRightInd/>
        <w:spacing w:before="0" w:line="240" w:lineRule="auto"/>
        <w:textAlignment w:val="auto"/>
        <w:rPr>
          <w:sz w:val="28"/>
          <w:szCs w:val="28"/>
        </w:rPr>
      </w:pPr>
      <w:r>
        <w:rPr>
          <w:sz w:val="28"/>
          <w:szCs w:val="28"/>
        </w:rPr>
        <w:lastRenderedPageBreak/>
        <w:t>Souhrn</w:t>
      </w:r>
    </w:p>
    <w:p w14:paraId="6699B9A3" w14:textId="3C7CB870" w:rsidR="00830024" w:rsidRPr="00D66167" w:rsidRDefault="00830024" w:rsidP="006B45B7">
      <w:pPr>
        <w:spacing w:before="120" w:line="276" w:lineRule="auto"/>
        <w:jc w:val="both"/>
        <w:rPr>
          <w:color w:val="FF0000"/>
          <w:sz w:val="22"/>
          <w:szCs w:val="22"/>
        </w:rPr>
      </w:pPr>
      <w:bookmarkStart w:id="22" w:name="_Toc73174066"/>
      <w:bookmarkStart w:id="23" w:name="_Toc73178242"/>
      <w:bookmarkStart w:id="24" w:name="_Toc73178370"/>
      <w:bookmarkStart w:id="25" w:name="_Toc73415661"/>
      <w:bookmarkStart w:id="26" w:name="_Toc73415726"/>
      <w:bookmarkStart w:id="27" w:name="_Toc76879400"/>
      <w:bookmarkStart w:id="28" w:name="_Toc76879686"/>
      <w:r w:rsidRPr="00F7529A">
        <w:rPr>
          <w:color w:val="auto"/>
          <w:sz w:val="22"/>
          <w:szCs w:val="22"/>
        </w:rPr>
        <w:t>Kvalita ovzduší a měřené hodnoty byly v roce 202</w:t>
      </w:r>
      <w:r w:rsidR="00F7529A" w:rsidRPr="00F7529A">
        <w:rPr>
          <w:color w:val="auto"/>
          <w:sz w:val="22"/>
          <w:szCs w:val="22"/>
        </w:rPr>
        <w:t>2</w:t>
      </w:r>
      <w:r w:rsidRPr="00F7529A">
        <w:rPr>
          <w:color w:val="auto"/>
          <w:sz w:val="22"/>
          <w:szCs w:val="22"/>
        </w:rPr>
        <w:t>, tak jako již několik let, primárně ovlivňovány aktuálními (mikro)klimatickými podmínkami. Ty se mohou projevovat vyšší četností excesů a rychlých změn počasí zahrnujících dlouhodobější suchá období vysokých teplot nebo období intenzivních srážek. Významná jsou zvláště dlouhodobější letní období sucha. Platí to zejména v případě suspendovaných částic, PAU a oxidů dusíku. Navíc je možno zimy v období 2013 – 202</w:t>
      </w:r>
      <w:r w:rsidR="00F7529A" w:rsidRPr="00F7529A">
        <w:rPr>
          <w:color w:val="auto"/>
          <w:sz w:val="22"/>
          <w:szCs w:val="22"/>
        </w:rPr>
        <w:t>2</w:t>
      </w:r>
      <w:r w:rsidRPr="00F7529A">
        <w:rPr>
          <w:color w:val="auto"/>
          <w:sz w:val="22"/>
          <w:szCs w:val="22"/>
        </w:rPr>
        <w:t xml:space="preserve"> považovat v kontextu dlouhodobého vývoje za velmi mírné. Samostatnou kapitolu pak v roce 202</w:t>
      </w:r>
      <w:r w:rsidR="00F7529A" w:rsidRPr="00F7529A">
        <w:rPr>
          <w:color w:val="auto"/>
          <w:sz w:val="22"/>
          <w:szCs w:val="22"/>
        </w:rPr>
        <w:t>2</w:t>
      </w:r>
      <w:r w:rsidRPr="00F7529A">
        <w:rPr>
          <w:color w:val="auto"/>
          <w:sz w:val="22"/>
          <w:szCs w:val="22"/>
        </w:rPr>
        <w:t xml:space="preserve"> představuje období </w:t>
      </w:r>
      <w:r w:rsidR="001E1321">
        <w:rPr>
          <w:color w:val="auto"/>
          <w:sz w:val="22"/>
          <w:szCs w:val="22"/>
        </w:rPr>
        <w:t xml:space="preserve">od </w:t>
      </w:r>
      <w:r w:rsidRPr="00F7529A">
        <w:rPr>
          <w:color w:val="auto"/>
          <w:sz w:val="22"/>
          <w:szCs w:val="22"/>
        </w:rPr>
        <w:t>února</w:t>
      </w:r>
      <w:r w:rsidR="001E1321">
        <w:rPr>
          <w:color w:val="auto"/>
          <w:sz w:val="22"/>
          <w:szCs w:val="22"/>
        </w:rPr>
        <w:t xml:space="preserve"> 2022</w:t>
      </w:r>
      <w:r w:rsidRPr="00F7529A">
        <w:rPr>
          <w:color w:val="auto"/>
          <w:sz w:val="22"/>
          <w:szCs w:val="22"/>
        </w:rPr>
        <w:t xml:space="preserve">, </w:t>
      </w:r>
      <w:r w:rsidR="000E2D52">
        <w:rPr>
          <w:color w:val="auto"/>
          <w:sz w:val="22"/>
          <w:szCs w:val="22"/>
        </w:rPr>
        <w:t xml:space="preserve">tedy </w:t>
      </w:r>
      <w:r w:rsidR="00F7529A" w:rsidRPr="00F7529A">
        <w:rPr>
          <w:color w:val="auto"/>
          <w:sz w:val="22"/>
          <w:szCs w:val="22"/>
        </w:rPr>
        <w:t xml:space="preserve">vzniku </w:t>
      </w:r>
      <w:r w:rsidR="001E1321">
        <w:rPr>
          <w:color w:val="auto"/>
          <w:sz w:val="22"/>
          <w:szCs w:val="22"/>
        </w:rPr>
        <w:t xml:space="preserve">a dopadu </w:t>
      </w:r>
      <w:r w:rsidR="00F7529A" w:rsidRPr="00F7529A">
        <w:rPr>
          <w:color w:val="auto"/>
          <w:sz w:val="22"/>
          <w:szCs w:val="22"/>
        </w:rPr>
        <w:t xml:space="preserve">energetické krize, která se projevila i v zimních </w:t>
      </w:r>
      <w:r w:rsidR="00F7529A" w:rsidRPr="00CA0CEC">
        <w:rPr>
          <w:color w:val="auto"/>
          <w:sz w:val="22"/>
          <w:szCs w:val="22"/>
        </w:rPr>
        <w:t>měsících</w:t>
      </w:r>
      <w:r w:rsidRPr="00CA0CEC">
        <w:rPr>
          <w:color w:val="auto"/>
          <w:sz w:val="22"/>
          <w:szCs w:val="22"/>
        </w:rPr>
        <w:t xml:space="preserve">. V tomto období </w:t>
      </w:r>
      <w:r w:rsidR="00CA0CEC" w:rsidRPr="00CA0CEC">
        <w:rPr>
          <w:color w:val="auto"/>
          <w:sz w:val="22"/>
          <w:szCs w:val="22"/>
        </w:rPr>
        <w:t xml:space="preserve">se </w:t>
      </w:r>
      <w:r w:rsidRPr="00CA0CEC">
        <w:rPr>
          <w:color w:val="auto"/>
          <w:sz w:val="22"/>
          <w:szCs w:val="22"/>
        </w:rPr>
        <w:t>významným způsobem z</w:t>
      </w:r>
      <w:r w:rsidR="00CA0CEC" w:rsidRPr="00CA0CEC">
        <w:rPr>
          <w:color w:val="auto"/>
          <w:sz w:val="22"/>
          <w:szCs w:val="22"/>
        </w:rPr>
        <w:t xml:space="preserve">měnily některé faktory </w:t>
      </w:r>
      <w:r w:rsidRPr="00CA0CEC">
        <w:rPr>
          <w:color w:val="auto"/>
          <w:sz w:val="22"/>
          <w:szCs w:val="22"/>
        </w:rPr>
        <w:t>domácí</w:t>
      </w:r>
      <w:r w:rsidR="00CA0CEC" w:rsidRPr="00CA0CEC">
        <w:rPr>
          <w:color w:val="auto"/>
          <w:sz w:val="22"/>
          <w:szCs w:val="22"/>
        </w:rPr>
        <w:t>ho</w:t>
      </w:r>
      <w:r w:rsidRPr="00CA0CEC">
        <w:rPr>
          <w:color w:val="auto"/>
          <w:sz w:val="22"/>
          <w:szCs w:val="22"/>
        </w:rPr>
        <w:t xml:space="preserve"> vytápění. </w:t>
      </w:r>
      <w:r w:rsidR="00CA0CEC" w:rsidRPr="00CA0CEC">
        <w:rPr>
          <w:color w:val="auto"/>
          <w:sz w:val="22"/>
          <w:szCs w:val="22"/>
        </w:rPr>
        <w:t xml:space="preserve">Efekt se projevil </w:t>
      </w:r>
      <w:r w:rsidRPr="00CA0CEC">
        <w:rPr>
          <w:color w:val="auto"/>
          <w:sz w:val="22"/>
          <w:szCs w:val="22"/>
        </w:rPr>
        <w:t xml:space="preserve">nejvíce v okrajových částech měst a v malých sídlech. </w:t>
      </w:r>
    </w:p>
    <w:p w14:paraId="32739215" w14:textId="790684C5" w:rsidR="00830024" w:rsidRPr="00D66167" w:rsidRDefault="00830024" w:rsidP="006B45B7">
      <w:pPr>
        <w:pStyle w:val="Zkladntext"/>
        <w:tabs>
          <w:tab w:val="left" w:pos="5103"/>
        </w:tabs>
        <w:spacing w:before="120" w:line="276" w:lineRule="auto"/>
        <w:jc w:val="both"/>
        <w:rPr>
          <w:rFonts w:ascii="Mulish" w:hAnsi="Mulish"/>
          <w:color w:val="FF0000"/>
          <w:sz w:val="22"/>
          <w:szCs w:val="22"/>
          <w14:shadow w14:blurRad="0" w14:dist="0" w14:dir="0" w14:sx="0" w14:sy="0" w14:kx="0" w14:ky="0" w14:algn="none">
            <w14:srgbClr w14:val="000000"/>
          </w14:shadow>
        </w:rPr>
      </w:pPr>
      <w:r w:rsidRPr="00CA0CEC">
        <w:rPr>
          <w:rFonts w:ascii="Mulish" w:hAnsi="Mulish"/>
          <w:sz w:val="22"/>
          <w:szCs w:val="22"/>
          <w14:shadow w14:blurRad="0" w14:dist="0" w14:dir="0" w14:sx="0" w14:sy="0" w14:kx="0" w14:ky="0" w14:algn="none">
            <w14:srgbClr w14:val="000000"/>
          </w14:shadow>
        </w:rPr>
        <w:t>Odhad zdravotních rizik, na kterých se podílí expozice znečišťujícím látkám z venkovního ovzduší za rok 202</w:t>
      </w:r>
      <w:r w:rsidR="00CA0CEC" w:rsidRPr="00CA0CEC">
        <w:rPr>
          <w:rFonts w:ascii="Mulish" w:hAnsi="Mulish"/>
          <w:sz w:val="22"/>
          <w:szCs w:val="22"/>
          <w14:shadow w14:blurRad="0" w14:dist="0" w14:dir="0" w14:sx="0" w14:sy="0" w14:kx="0" w14:ky="0" w14:algn="none">
            <w14:srgbClr w14:val="000000"/>
          </w14:shadow>
        </w:rPr>
        <w:t>2</w:t>
      </w:r>
      <w:r w:rsidRPr="00CA0CEC">
        <w:rPr>
          <w:rFonts w:ascii="Mulish" w:hAnsi="Mulish"/>
          <w:sz w:val="22"/>
          <w:szCs w:val="22"/>
          <w14:shadow w14:blurRad="0" w14:dist="0" w14:dir="0" w14:sx="0" w14:sy="0" w14:kx="0" w14:ky="0" w14:algn="none">
            <w14:srgbClr w14:val="000000"/>
          </w14:shadow>
        </w:rPr>
        <w:t xml:space="preserve">, byl zpracován pro oxid dusičitý, </w:t>
      </w:r>
      <w:r w:rsidR="00CA0CEC" w:rsidRPr="00CA0CEC">
        <w:rPr>
          <w:rFonts w:ascii="Mulish" w:hAnsi="Mulish"/>
          <w:sz w:val="22"/>
          <w:szCs w:val="22"/>
          <w14:shadow w14:blurRad="0" w14:dist="0" w14:dir="0" w14:sx="0" w14:sy="0" w14:kx="0" w14:ky="0" w14:algn="none">
            <w14:srgbClr w14:val="000000"/>
          </w14:shadow>
        </w:rPr>
        <w:t xml:space="preserve">ozón a </w:t>
      </w:r>
      <w:r w:rsidRPr="00CA0CEC">
        <w:rPr>
          <w:rFonts w:ascii="Mulish" w:hAnsi="Mulish"/>
          <w:sz w:val="22"/>
          <w:szCs w:val="22"/>
          <w14:shadow w14:blurRad="0" w14:dist="0" w14:dir="0" w14:sx="0" w14:sy="0" w14:kx="0" w14:ky="0" w14:algn="none">
            <w14:srgbClr w14:val="000000"/>
          </w14:shadow>
        </w:rPr>
        <w:t>suspendované částice PM</w:t>
      </w:r>
      <w:r w:rsidRPr="00CA0CEC">
        <w:rPr>
          <w:rFonts w:ascii="Mulish" w:hAnsi="Mulish"/>
          <w:sz w:val="22"/>
          <w:szCs w:val="22"/>
          <w:vertAlign w:val="subscript"/>
          <w14:shadow w14:blurRad="0" w14:dist="0" w14:dir="0" w14:sx="0" w14:sy="0" w14:kx="0" w14:ky="0" w14:algn="none">
            <w14:srgbClr w14:val="000000"/>
          </w14:shadow>
        </w:rPr>
        <w:t>10</w:t>
      </w:r>
      <w:r w:rsidRPr="00CA0CEC">
        <w:rPr>
          <w:rFonts w:ascii="Mulish" w:hAnsi="Mulish"/>
          <w:sz w:val="22"/>
          <w:szCs w:val="22"/>
          <w14:shadow w14:blurRad="0" w14:dist="0" w14:dir="0" w14:sx="0" w14:sy="0" w14:kx="0" w14:ky="0" w14:algn="none">
            <w14:srgbClr w14:val="000000"/>
          </w14:shadow>
        </w:rPr>
        <w:t xml:space="preserve"> a PM</w:t>
      </w:r>
      <w:r w:rsidRPr="00CA0CEC">
        <w:rPr>
          <w:rFonts w:ascii="Mulish" w:hAnsi="Mulish"/>
          <w:sz w:val="22"/>
          <w:szCs w:val="22"/>
          <w:vertAlign w:val="subscript"/>
          <w14:shadow w14:blurRad="0" w14:dist="0" w14:dir="0" w14:sx="0" w14:sy="0" w14:kx="0" w14:ky="0" w14:algn="none">
            <w14:srgbClr w14:val="000000"/>
          </w14:shadow>
        </w:rPr>
        <w:t>2,5</w:t>
      </w:r>
      <w:r w:rsidRPr="00CA0CEC">
        <w:rPr>
          <w:rFonts w:ascii="Mulish" w:hAnsi="Mulish"/>
          <w:sz w:val="22"/>
          <w:szCs w:val="22"/>
          <w14:shadow w14:blurRad="0" w14:dist="0" w14:dir="0" w14:sx="0" w14:sy="0" w14:kx="0" w14:ky="0" w14:algn="none">
            <w14:srgbClr w14:val="000000"/>
          </w14:shadow>
        </w:rPr>
        <w:t>. Hodnocení PM</w:t>
      </w:r>
      <w:r w:rsidRPr="00CA0CEC">
        <w:rPr>
          <w:rFonts w:ascii="Mulish" w:hAnsi="Mulish"/>
          <w:sz w:val="22"/>
          <w:szCs w:val="22"/>
          <w:vertAlign w:val="subscript"/>
          <w14:shadow w14:blurRad="0" w14:dist="0" w14:dir="0" w14:sx="0" w14:sy="0" w14:kx="0" w14:ky="0" w14:algn="none">
            <w14:srgbClr w14:val="000000"/>
          </w14:shadow>
        </w:rPr>
        <w:t xml:space="preserve">10 </w:t>
      </w:r>
      <w:r w:rsidRPr="00CA0CEC">
        <w:rPr>
          <w:rFonts w:ascii="Mulish" w:hAnsi="Mulish"/>
          <w:sz w:val="22"/>
          <w:szCs w:val="22"/>
          <w14:shadow w14:blurRad="0" w14:dist="0" w14:dir="0" w14:sx="0" w14:sy="0" w14:kx="0" w14:ky="0" w14:algn="none">
            <w14:srgbClr w14:val="000000"/>
          </w14:shadow>
        </w:rPr>
        <w:t>zahrnuje i účinky NO</w:t>
      </w:r>
      <w:r w:rsidRPr="00CA0CEC">
        <w:rPr>
          <w:rFonts w:ascii="Mulish" w:hAnsi="Mulish"/>
          <w:sz w:val="22"/>
          <w:szCs w:val="22"/>
          <w:vertAlign w:val="subscript"/>
          <w14:shadow w14:blurRad="0" w14:dist="0" w14:dir="0" w14:sx="0" w14:sy="0" w14:kx="0" w14:ky="0" w14:algn="none">
            <w14:srgbClr w14:val="000000"/>
          </w14:shadow>
        </w:rPr>
        <w:t>2</w:t>
      </w:r>
      <w:r w:rsidRPr="00CA0CEC">
        <w:rPr>
          <w:rFonts w:ascii="Mulish" w:hAnsi="Mulish"/>
          <w:sz w:val="22"/>
          <w:szCs w:val="22"/>
          <w14:shadow w14:blurRad="0" w14:dist="0" w14:dir="0" w14:sx="0" w14:sy="0" w14:kx="0" w14:ky="0" w14:algn="none">
            <w14:srgbClr w14:val="000000"/>
          </w14:shadow>
        </w:rPr>
        <w:t xml:space="preserve">, protože tyto dvě znečišťující látky působí společně </w:t>
      </w:r>
      <w:r w:rsidRPr="00CA0CEC">
        <w:rPr>
          <w:rFonts w:ascii="Mulish" w:hAnsi="Mulish"/>
          <w:sz w:val="22"/>
          <w:szCs w:val="22"/>
          <w14:shadow w14:blurRad="0" w14:dist="0" w14:dir="0" w14:sx="0" w14:sy="0" w14:kx="0" w14:ky="0" w14:algn="none">
            <w14:srgbClr w14:val="000000"/>
          </w14:shadow>
        </w:rPr>
        <w:br/>
        <w:t>a nelze kvantifikovat pouze vliv NO</w:t>
      </w:r>
      <w:r w:rsidRPr="00CA0CEC">
        <w:rPr>
          <w:rFonts w:ascii="Mulish" w:hAnsi="Mulish"/>
          <w:sz w:val="22"/>
          <w:szCs w:val="22"/>
          <w:vertAlign w:val="subscript"/>
          <w14:shadow w14:blurRad="0" w14:dist="0" w14:dir="0" w14:sx="0" w14:sy="0" w14:kx="0" w14:ky="0" w14:algn="none">
            <w14:srgbClr w14:val="000000"/>
          </w14:shadow>
        </w:rPr>
        <w:t>2</w:t>
      </w:r>
      <w:r w:rsidRPr="00CA0CEC">
        <w:rPr>
          <w:rFonts w:ascii="Mulish" w:hAnsi="Mulish"/>
          <w:sz w:val="22"/>
          <w:szCs w:val="22"/>
          <w14:shadow w14:blurRad="0" w14:dist="0" w14:dir="0" w14:sx="0" w14:sy="0" w14:kx="0" w14:ky="0" w14:algn="none">
            <w14:srgbClr w14:val="000000"/>
          </w14:shadow>
        </w:rPr>
        <w:t xml:space="preserve">. Samostatnou částí hodnocení zdravotních rizik je pravděpodobnostní odhad navýšení rizika vzniku nádorového onemocnění, vycházející </w:t>
      </w:r>
      <w:r w:rsidRPr="00CA0CEC">
        <w:rPr>
          <w:rFonts w:ascii="Mulish" w:hAnsi="Mulish"/>
          <w:sz w:val="22"/>
          <w:szCs w:val="22"/>
          <w14:shadow w14:blurRad="0" w14:dist="0" w14:dir="0" w14:sx="0" w14:sy="0" w14:kx="0" w14:ky="0" w14:algn="none">
            <w14:srgbClr w14:val="000000"/>
          </w14:shadow>
        </w:rPr>
        <w:br/>
        <w:t>z konceptu bezprahového působení. Toto hodnocení se zpracovává pro vybrané látky s karcinogenním účinkem (arsen, nikl, kadmium, benzen a suma karcinogenních polycyklických aromatických uhlovodíků – PAU, representovaná benzo[</w:t>
      </w:r>
      <w:r w:rsidRPr="00CA0CEC">
        <w:rPr>
          <w:rFonts w:ascii="Mulish" w:hAnsi="Mulish"/>
          <w:i/>
          <w:sz w:val="22"/>
          <w:szCs w:val="22"/>
          <w14:shadow w14:blurRad="0" w14:dist="0" w14:dir="0" w14:sx="0" w14:sy="0" w14:kx="0" w14:ky="0" w14:algn="none">
            <w14:srgbClr w14:val="000000"/>
          </w14:shadow>
        </w:rPr>
        <w:t>a</w:t>
      </w:r>
      <w:r w:rsidRPr="00CA0CEC">
        <w:rPr>
          <w:rFonts w:ascii="Mulish" w:hAnsi="Mulish"/>
          <w:sz w:val="22"/>
          <w:szCs w:val="22"/>
          <w14:shadow w14:blurRad="0" w14:dist="0" w14:dir="0" w14:sx="0" w14:sy="0" w14:kx="0" w14:ky="0" w14:algn="none">
            <w14:srgbClr w14:val="000000"/>
          </w14:shadow>
        </w:rPr>
        <w:t xml:space="preserve">]pyrenem). </w:t>
      </w:r>
    </w:p>
    <w:bookmarkEnd w:id="22"/>
    <w:bookmarkEnd w:id="23"/>
    <w:bookmarkEnd w:id="24"/>
    <w:bookmarkEnd w:id="25"/>
    <w:bookmarkEnd w:id="26"/>
    <w:bookmarkEnd w:id="27"/>
    <w:bookmarkEnd w:id="28"/>
    <w:p w14:paraId="16B810BD" w14:textId="08CA858B" w:rsidR="00830024" w:rsidRPr="00CA0CEC" w:rsidRDefault="00830024" w:rsidP="006B45B7">
      <w:pPr>
        <w:spacing w:before="120" w:line="276" w:lineRule="auto"/>
        <w:jc w:val="both"/>
        <w:rPr>
          <w:color w:val="auto"/>
          <w:sz w:val="22"/>
          <w:szCs w:val="22"/>
        </w:rPr>
      </w:pPr>
      <w:r w:rsidRPr="00CA0CEC">
        <w:rPr>
          <w:b/>
          <w:bCs/>
          <w:color w:val="auto"/>
          <w:sz w:val="22"/>
          <w:szCs w:val="22"/>
        </w:rPr>
        <w:t>Zdravotní riziko</w:t>
      </w:r>
      <w:r w:rsidRPr="00CA0CEC">
        <w:rPr>
          <w:color w:val="auto"/>
          <w:sz w:val="22"/>
          <w:szCs w:val="22"/>
        </w:rPr>
        <w:t xml:space="preserve"> se interpretuje jako pravděpodobnost změny zdravotního stavu exponovaných osob. Výpočet vychází z metodických postupů hodnocení rizik americké Agentury pro ochranu životního prostředí (US EPA) a Světové zdravotnické organizace (WHO) a používá vztahy publikované těmito organizacemi na základě rozsáhlého počtu epidemiologických studií </w:t>
      </w:r>
      <w:r w:rsidR="00815514">
        <w:rPr>
          <w:color w:val="auto"/>
          <w:sz w:val="22"/>
          <w:szCs w:val="22"/>
        </w:rPr>
        <w:br/>
      </w:r>
      <w:r w:rsidRPr="00CA0CEC">
        <w:rPr>
          <w:color w:val="auto"/>
          <w:sz w:val="22"/>
          <w:szCs w:val="22"/>
        </w:rPr>
        <w:t xml:space="preserve">a odborných prací z experimentální toxikologie. </w:t>
      </w:r>
    </w:p>
    <w:p w14:paraId="2E66E5B9" w14:textId="37ECC47D" w:rsidR="00830024" w:rsidRPr="00CA0CEC" w:rsidRDefault="00830024" w:rsidP="006B45B7">
      <w:pPr>
        <w:spacing w:before="120" w:line="276" w:lineRule="auto"/>
        <w:jc w:val="both"/>
        <w:rPr>
          <w:color w:val="auto"/>
          <w:sz w:val="22"/>
          <w:szCs w:val="22"/>
        </w:rPr>
      </w:pPr>
      <w:r w:rsidRPr="00CA0CEC">
        <w:rPr>
          <w:color w:val="auto"/>
          <w:sz w:val="22"/>
          <w:szCs w:val="22"/>
        </w:rPr>
        <w:t xml:space="preserve">Při hodnocení zdravotních rizik se standardně postupuje ve čtyřech následných krocích. Nejprve je identifikována </w:t>
      </w:r>
      <w:r w:rsidRPr="00CA0CEC">
        <w:rPr>
          <w:b/>
          <w:bCs/>
          <w:color w:val="auto"/>
          <w:sz w:val="22"/>
          <w:szCs w:val="22"/>
        </w:rPr>
        <w:t>zdravotní nebezpečnost</w:t>
      </w:r>
      <w:r w:rsidRPr="00CA0CEC">
        <w:rPr>
          <w:color w:val="auto"/>
          <w:sz w:val="22"/>
          <w:szCs w:val="22"/>
        </w:rPr>
        <w:t xml:space="preserve">, tedy to, zda je sledovaná látka, faktor nebo komplexní směs schopná vyvolat nežádoucí zdravotní účinek. Následuje odhad </w:t>
      </w:r>
      <w:r w:rsidRPr="00CA0CEC">
        <w:rPr>
          <w:b/>
          <w:bCs/>
          <w:color w:val="auto"/>
          <w:sz w:val="22"/>
          <w:szCs w:val="22"/>
        </w:rPr>
        <w:t>dávkové závislosti</w:t>
      </w:r>
      <w:r w:rsidRPr="00CA0CEC">
        <w:rPr>
          <w:color w:val="auto"/>
          <w:sz w:val="22"/>
          <w:szCs w:val="22"/>
        </w:rPr>
        <w:t xml:space="preserve"> tohoto efektu, tedy jak se intenzita, frekvence nebo pravděpodobnost nežádoucích účinků mění s dávkou. Třetím a často nejsložitějším krokem v odhadu rizika je </w:t>
      </w:r>
      <w:r w:rsidRPr="00CA0CEC">
        <w:rPr>
          <w:b/>
          <w:bCs/>
          <w:color w:val="auto"/>
          <w:sz w:val="22"/>
          <w:szCs w:val="22"/>
        </w:rPr>
        <w:t>odhad expozice</w:t>
      </w:r>
      <w:r w:rsidRPr="00CA0CEC">
        <w:rPr>
          <w:color w:val="auto"/>
          <w:sz w:val="22"/>
          <w:szCs w:val="22"/>
        </w:rPr>
        <w:t xml:space="preserve">, to znamená, zda a do jaké míry je populace vystavena působení sledované látky či faktoru v daném prostředí. Konečným krokem v odhadu rizika je </w:t>
      </w:r>
      <w:r w:rsidRPr="00CA0CEC">
        <w:rPr>
          <w:b/>
          <w:bCs/>
          <w:color w:val="auto"/>
          <w:sz w:val="22"/>
          <w:szCs w:val="22"/>
        </w:rPr>
        <w:t>charakterizace rizika</w:t>
      </w:r>
      <w:r w:rsidRPr="00CA0CEC">
        <w:rPr>
          <w:color w:val="auto"/>
          <w:sz w:val="22"/>
          <w:szCs w:val="22"/>
        </w:rPr>
        <w:t xml:space="preserve">. Znamená integraci poznatků vyplývajících ze všech výše zmíněných kroků, včetně zvážení všech nejistot, závažnosti i slabých stránek použitých podkladových materiálů. Cílem je dospět, pokud to dostupné informace umožňují, ke kvantitativnímu vyjádření míry konkrétního zdravotního rizika za dané situace. </w:t>
      </w:r>
    </w:p>
    <w:p w14:paraId="3C87B37D" w14:textId="0623BD94" w:rsidR="00830024" w:rsidRPr="00CA0CEC" w:rsidRDefault="00830024" w:rsidP="006B45B7">
      <w:pPr>
        <w:spacing w:before="120" w:line="276" w:lineRule="auto"/>
        <w:jc w:val="both"/>
        <w:rPr>
          <w:color w:val="auto"/>
          <w:sz w:val="22"/>
          <w:szCs w:val="22"/>
        </w:rPr>
      </w:pPr>
      <w:r w:rsidRPr="00CA0CEC">
        <w:rPr>
          <w:color w:val="auto"/>
          <w:sz w:val="22"/>
          <w:szCs w:val="22"/>
        </w:rPr>
        <w:t xml:space="preserve">Tento postup, který bývá nejčastěji aplikován pro určitou konkrétní lokalitu a problém, byl použit pro toto hodnocení ovzduší v rámci dostupných podkladů pro Českou republiku. Protože pro </w:t>
      </w:r>
      <w:r w:rsidRPr="00CA0CEC">
        <w:rPr>
          <w:color w:val="auto"/>
          <w:sz w:val="22"/>
          <w:szCs w:val="22"/>
        </w:rPr>
        <w:lastRenderedPageBreak/>
        <w:t>hodnocení venkovských sídel nejsou k dispozici dostačující informace</w:t>
      </w:r>
      <w:r w:rsidR="00F7529A" w:rsidRPr="00CA0CEC">
        <w:rPr>
          <w:color w:val="auto"/>
          <w:sz w:val="22"/>
          <w:szCs w:val="22"/>
        </w:rPr>
        <w:t>,</w:t>
      </w:r>
      <w:r w:rsidRPr="00CA0CEC">
        <w:rPr>
          <w:color w:val="auto"/>
          <w:sz w:val="22"/>
          <w:szCs w:val="22"/>
        </w:rPr>
        <w:t xml:space="preserve"> je zpracovaný odhad platný </w:t>
      </w:r>
      <w:r w:rsidRPr="00CA0CEC">
        <w:rPr>
          <w:b/>
          <w:color w:val="auto"/>
          <w:sz w:val="22"/>
          <w:szCs w:val="22"/>
        </w:rPr>
        <w:t>pouze pro</w:t>
      </w:r>
      <w:r w:rsidRPr="00CA0CEC">
        <w:rPr>
          <w:color w:val="auto"/>
          <w:sz w:val="22"/>
          <w:szCs w:val="22"/>
        </w:rPr>
        <w:t xml:space="preserve"> </w:t>
      </w:r>
      <w:r w:rsidRPr="00CA0CEC">
        <w:rPr>
          <w:b/>
          <w:bCs/>
          <w:color w:val="auto"/>
          <w:sz w:val="22"/>
          <w:szCs w:val="22"/>
        </w:rPr>
        <w:t>městské obyvatelstvo</w:t>
      </w:r>
      <w:r w:rsidRPr="00CA0CEC">
        <w:rPr>
          <w:color w:val="auto"/>
          <w:sz w:val="22"/>
          <w:szCs w:val="22"/>
        </w:rPr>
        <w:t xml:space="preserve">. Na druhou stranu by mělo být rozpětí existujících hodnot v těchto malých sídlech zahrnuto v hodnocení České republiky jako celku. </w:t>
      </w:r>
    </w:p>
    <w:p w14:paraId="3CFD8E9D" w14:textId="58F614D9" w:rsidR="00830024" w:rsidRPr="00CA0CEC" w:rsidRDefault="00830024" w:rsidP="006B45B7">
      <w:pPr>
        <w:spacing w:before="120" w:line="276" w:lineRule="auto"/>
        <w:jc w:val="both"/>
        <w:rPr>
          <w:color w:val="auto"/>
          <w:sz w:val="22"/>
          <w:szCs w:val="22"/>
        </w:rPr>
      </w:pPr>
      <w:r w:rsidRPr="00CA0CEC">
        <w:rPr>
          <w:color w:val="auto"/>
          <w:sz w:val="22"/>
          <w:szCs w:val="22"/>
        </w:rPr>
        <w:t>Primární 24hodinová data pro hodnocení kvality ovzduší byla převzata převážně z databáze ISKO, následně byla zpracována v databázovém prostředí ISID a doplněna o hodnocení krátkodobých hodnot (hodinový průměr a osmihodinový klouzavý průměr) z tabelární ročenky  ČHMÚ za rok 202</w:t>
      </w:r>
      <w:r w:rsidR="00CA0CEC" w:rsidRPr="00CA0CEC">
        <w:rPr>
          <w:color w:val="auto"/>
          <w:sz w:val="22"/>
          <w:szCs w:val="22"/>
        </w:rPr>
        <w:t>2</w:t>
      </w:r>
      <w:r w:rsidRPr="00CA0CEC">
        <w:rPr>
          <w:color w:val="auto"/>
          <w:sz w:val="22"/>
          <w:szCs w:val="22"/>
        </w:rPr>
        <w:t xml:space="preserve">. Data byla zpracována ve formě </w:t>
      </w:r>
      <w:proofErr w:type="spellStart"/>
      <w:r w:rsidRPr="00CA0CEC">
        <w:rPr>
          <w:color w:val="auto"/>
          <w:sz w:val="22"/>
          <w:szCs w:val="22"/>
        </w:rPr>
        <w:t>rozpěťových</w:t>
      </w:r>
      <w:proofErr w:type="spellEnd"/>
      <w:r w:rsidRPr="00CA0CEC">
        <w:rPr>
          <w:color w:val="auto"/>
          <w:sz w:val="22"/>
          <w:szCs w:val="22"/>
        </w:rPr>
        <w:t xml:space="preserve"> intervalů pro jednotlivé látky (NO</w:t>
      </w:r>
      <w:r w:rsidRPr="00CA0CEC">
        <w:rPr>
          <w:color w:val="auto"/>
          <w:sz w:val="22"/>
          <w:szCs w:val="22"/>
          <w:vertAlign w:val="subscript"/>
        </w:rPr>
        <w:t>2</w:t>
      </w:r>
      <w:r w:rsidRPr="00CA0CEC">
        <w:rPr>
          <w:color w:val="auto"/>
          <w:sz w:val="22"/>
          <w:szCs w:val="22"/>
        </w:rPr>
        <w:t xml:space="preserve">, </w:t>
      </w:r>
      <w:r w:rsidR="00CA0CEC" w:rsidRPr="00CA0CEC">
        <w:rPr>
          <w:color w:val="auto"/>
          <w:sz w:val="22"/>
          <w:szCs w:val="22"/>
        </w:rPr>
        <w:t>O</w:t>
      </w:r>
      <w:r w:rsidR="00CA0CEC" w:rsidRPr="00CA0CEC">
        <w:rPr>
          <w:color w:val="auto"/>
          <w:sz w:val="22"/>
          <w:szCs w:val="22"/>
          <w:vertAlign w:val="subscript"/>
        </w:rPr>
        <w:t>3</w:t>
      </w:r>
      <w:r w:rsidR="00CA0CEC" w:rsidRPr="00CA0CEC">
        <w:rPr>
          <w:color w:val="auto"/>
          <w:sz w:val="22"/>
          <w:szCs w:val="22"/>
        </w:rPr>
        <w:t xml:space="preserve">, </w:t>
      </w:r>
      <w:r w:rsidRPr="00CA0CEC">
        <w:rPr>
          <w:color w:val="auto"/>
          <w:sz w:val="22"/>
          <w:szCs w:val="22"/>
        </w:rPr>
        <w:t>PM</w:t>
      </w:r>
      <w:r w:rsidRPr="00CA0CEC">
        <w:rPr>
          <w:color w:val="auto"/>
          <w:sz w:val="22"/>
          <w:szCs w:val="22"/>
          <w:vertAlign w:val="subscript"/>
        </w:rPr>
        <w:t>10</w:t>
      </w:r>
      <w:r w:rsidRPr="00CA0CEC">
        <w:rPr>
          <w:color w:val="auto"/>
          <w:sz w:val="22"/>
          <w:szCs w:val="22"/>
        </w:rPr>
        <w:t>, PM</w:t>
      </w:r>
      <w:r w:rsidRPr="00CA0CEC">
        <w:rPr>
          <w:color w:val="auto"/>
          <w:sz w:val="22"/>
          <w:szCs w:val="22"/>
          <w:vertAlign w:val="subscript"/>
        </w:rPr>
        <w:t>2,5</w:t>
      </w:r>
      <w:r w:rsidRPr="00CA0CEC">
        <w:rPr>
          <w:color w:val="auto"/>
          <w:sz w:val="22"/>
          <w:szCs w:val="22"/>
        </w:rPr>
        <w:t xml:space="preserve">, As, Ni, Cd, benzen a BaP), a to jak pro celou Českou republiku (zahrnuje všechny městské měřicí stanice), tak pro vybrané typy městských lokalit (městské obytné bez dopravní zátěže, městské s dopravní zátěží a městské s průmyslovou zátěží). </w:t>
      </w:r>
    </w:p>
    <w:p w14:paraId="2023679C" w14:textId="77777777" w:rsidR="006729BB" w:rsidRDefault="00830024" w:rsidP="006B45B7">
      <w:pPr>
        <w:spacing w:before="120" w:line="276" w:lineRule="auto"/>
        <w:jc w:val="both"/>
        <w:rPr>
          <w:color w:val="auto"/>
          <w:sz w:val="22"/>
          <w:szCs w:val="22"/>
        </w:rPr>
      </w:pPr>
      <w:r w:rsidRPr="00CA0CEC">
        <w:rPr>
          <w:color w:val="auto"/>
          <w:sz w:val="22"/>
          <w:szCs w:val="22"/>
        </w:rPr>
        <w:t xml:space="preserve">Dlouhodobě znečištění ovzduší měst a městských aglomerací stále ovlivňuje zejména doprava, která je zde dominantním a v podstatě plošně působícím zdrojem znečištění ovzduší. Další spolupůsobící zdroje (energetické zdroje, CZT, domácí vytápění, malé a střední zdroje, průmysl) mají více lokální význam. </w:t>
      </w:r>
    </w:p>
    <w:p w14:paraId="6654EC75" w14:textId="20921B06" w:rsidR="00830024" w:rsidRPr="00CA0CEC" w:rsidRDefault="00830024" w:rsidP="006B45B7">
      <w:pPr>
        <w:spacing w:before="120" w:line="276" w:lineRule="auto"/>
        <w:jc w:val="both"/>
        <w:rPr>
          <w:color w:val="auto"/>
          <w:sz w:val="22"/>
          <w:szCs w:val="22"/>
        </w:rPr>
      </w:pPr>
      <w:r w:rsidRPr="00CA0CEC">
        <w:rPr>
          <w:color w:val="auto"/>
          <w:sz w:val="22"/>
          <w:szCs w:val="22"/>
        </w:rPr>
        <w:t xml:space="preserve">Specifickou oblastí je Moravskoslezský kraj (MSK) s dlouhodobě zvýšenými hodnotami škodlivin ve venkovním ovzduší, kde mají zásadní význam emise z průmyslových zdrojů a dálkový transport škodlivin. </w:t>
      </w:r>
    </w:p>
    <w:p w14:paraId="743B9872" w14:textId="5C71CE08" w:rsidR="006729BB" w:rsidRDefault="00830024" w:rsidP="006729BB">
      <w:pPr>
        <w:spacing w:before="120" w:line="276" w:lineRule="auto"/>
        <w:jc w:val="both"/>
        <w:rPr>
          <w:color w:val="auto"/>
          <w:sz w:val="22"/>
          <w:szCs w:val="22"/>
        </w:rPr>
      </w:pPr>
      <w:r w:rsidRPr="00CA0CEC">
        <w:rPr>
          <w:color w:val="auto"/>
          <w:sz w:val="22"/>
          <w:szCs w:val="22"/>
        </w:rPr>
        <w:t xml:space="preserve">Při hodnocení naměřených hodnot byly aplikovány Globální pokyny WHO pro kvalitu ovzduší </w:t>
      </w:r>
      <w:r w:rsidR="00815514">
        <w:rPr>
          <w:color w:val="auto"/>
          <w:sz w:val="22"/>
          <w:szCs w:val="22"/>
        </w:rPr>
        <w:br/>
      </w:r>
      <w:r w:rsidRPr="00CA0CEC">
        <w:rPr>
          <w:color w:val="auto"/>
          <w:sz w:val="22"/>
          <w:szCs w:val="22"/>
        </w:rPr>
        <w:t xml:space="preserve">v Evropě (AQG = Air </w:t>
      </w:r>
      <w:proofErr w:type="spellStart"/>
      <w:r w:rsidRPr="00CA0CEC">
        <w:rPr>
          <w:color w:val="auto"/>
          <w:sz w:val="22"/>
          <w:szCs w:val="22"/>
        </w:rPr>
        <w:t>Quality</w:t>
      </w:r>
      <w:proofErr w:type="spellEnd"/>
      <w:r w:rsidRPr="00CA0CEC">
        <w:rPr>
          <w:color w:val="auto"/>
          <w:sz w:val="22"/>
          <w:szCs w:val="22"/>
        </w:rPr>
        <w:t xml:space="preserve"> </w:t>
      </w:r>
      <w:proofErr w:type="spellStart"/>
      <w:r w:rsidRPr="00CA0CEC">
        <w:rPr>
          <w:color w:val="auto"/>
          <w:sz w:val="22"/>
          <w:szCs w:val="22"/>
        </w:rPr>
        <w:t>Guidelines</w:t>
      </w:r>
      <w:proofErr w:type="spellEnd"/>
      <w:r w:rsidRPr="00CA0CEC">
        <w:rPr>
          <w:color w:val="auto"/>
          <w:sz w:val="22"/>
          <w:szCs w:val="22"/>
        </w:rPr>
        <w:t xml:space="preserve">) vydané v září 2021. </w:t>
      </w:r>
    </w:p>
    <w:p w14:paraId="4B0089F7" w14:textId="3A367768" w:rsidR="00561753" w:rsidRDefault="006729BB" w:rsidP="00561753">
      <w:pPr>
        <w:spacing w:before="120" w:line="276" w:lineRule="auto"/>
        <w:jc w:val="both"/>
        <w:rPr>
          <w:color w:val="auto"/>
          <w:sz w:val="22"/>
          <w:szCs w:val="22"/>
        </w:rPr>
      </w:pPr>
      <w:r w:rsidRPr="00F8550C">
        <w:rPr>
          <w:bCs/>
          <w:color w:val="auto"/>
          <w:sz w:val="22"/>
          <w:szCs w:val="22"/>
        </w:rPr>
        <w:t>Celkový počet zemřelých v ČR v roce 2022 byl 120 219 osob. Představuje to proti roku 2019 nárůst o cca 5 tisíc. Bohužel nejsou k dispozici takové podklady, které by umožnily kvantifikovat podíl způsobený přímo pandemií Covid-19, tj. nelze očistit data o celkové úmrtnosti od komplexního vlivu pandemie tak, aby odhad předčasné úmrtnosti (počet osob) způsobený expozici suspendovaným částicím byl konzistentní s předchozími roky.</w:t>
      </w:r>
      <w:r w:rsidR="00561753">
        <w:rPr>
          <w:bCs/>
          <w:color w:val="auto"/>
          <w:sz w:val="22"/>
          <w:szCs w:val="22"/>
        </w:rPr>
        <w:t xml:space="preserve"> </w:t>
      </w:r>
      <w:r w:rsidR="00561753" w:rsidRPr="00CA0CEC">
        <w:rPr>
          <w:color w:val="auto"/>
          <w:sz w:val="22"/>
          <w:szCs w:val="22"/>
        </w:rPr>
        <w:t>Konkrétně z odhadu zdravotních rizik v roce 2022 vyplývá následující:</w:t>
      </w:r>
    </w:p>
    <w:p w14:paraId="3FEDC208" w14:textId="77777777" w:rsidR="00CA0CEC" w:rsidRDefault="00CA0CEC" w:rsidP="006B45B7">
      <w:pPr>
        <w:pStyle w:val="Zkladntext"/>
        <w:tabs>
          <w:tab w:val="left" w:pos="5103"/>
        </w:tabs>
        <w:spacing w:before="120" w:line="276" w:lineRule="auto"/>
        <w:jc w:val="both"/>
        <w:rPr>
          <w:rFonts w:ascii="Mulish" w:hAnsi="Mulish"/>
          <w:b/>
          <w:bCs/>
          <w:sz w:val="22"/>
          <w:szCs w:val="22"/>
          <w14:shadow w14:blurRad="0" w14:dist="0" w14:dir="0" w14:sx="0" w14:sy="0" w14:kx="0" w14:ky="0" w14:algn="none">
            <w14:srgbClr w14:val="000000"/>
          </w14:shadow>
        </w:rPr>
      </w:pPr>
      <w:r>
        <w:rPr>
          <w:rFonts w:ascii="Mulish" w:hAnsi="Mulish"/>
          <w:b/>
          <w:bCs/>
          <w:sz w:val="22"/>
          <w:szCs w:val="22"/>
          <w14:shadow w14:blurRad="0" w14:dist="0" w14:dir="0" w14:sx="0" w14:sy="0" w14:kx="0" w14:ky="0" w14:algn="none">
            <w14:srgbClr w14:val="000000"/>
          </w14:shadow>
        </w:rPr>
        <w:t>Ozón</w:t>
      </w:r>
    </w:p>
    <w:p w14:paraId="7E464FCB" w14:textId="613405A3" w:rsidR="00CA0CEC" w:rsidRPr="00CA0CEC" w:rsidRDefault="00F8550C" w:rsidP="006729BB">
      <w:pPr>
        <w:pStyle w:val="Zkladntext"/>
        <w:numPr>
          <w:ilvl w:val="0"/>
          <w:numId w:val="36"/>
        </w:numPr>
        <w:tabs>
          <w:tab w:val="left" w:pos="5103"/>
        </w:tabs>
        <w:spacing w:before="120" w:line="276" w:lineRule="auto"/>
        <w:jc w:val="both"/>
        <w:rPr>
          <w:rFonts w:ascii="Mulish" w:hAnsi="Mulish"/>
          <w:bCs/>
          <w:sz w:val="22"/>
          <w:szCs w:val="22"/>
          <w14:shadow w14:blurRad="0" w14:dist="0" w14:dir="0" w14:sx="0" w14:sy="0" w14:kx="0" w14:ky="0" w14:algn="none">
            <w14:srgbClr w14:val="000000"/>
          </w14:shadow>
        </w:rPr>
      </w:pPr>
      <w:r>
        <w:rPr>
          <w:rFonts w:ascii="Mulish" w:hAnsi="Mulish"/>
          <w:bCs/>
          <w:sz w:val="22"/>
          <w:szCs w:val="22"/>
          <w14:shadow w14:blurRad="0" w14:dist="0" w14:dir="0" w14:sx="0" w14:sy="0" w14:kx="0" w14:ky="0" w14:algn="none">
            <w14:srgbClr w14:val="000000"/>
          </w14:shadow>
        </w:rPr>
        <w:t xml:space="preserve">U ozónu, kde jsou k dispozici data </w:t>
      </w:r>
      <w:r w:rsidR="001E1321">
        <w:rPr>
          <w:rFonts w:ascii="Mulish" w:hAnsi="Mulish"/>
          <w:bCs/>
          <w:sz w:val="22"/>
          <w:szCs w:val="22"/>
          <w14:shadow w14:blurRad="0" w14:dist="0" w14:dir="0" w14:sx="0" w14:sy="0" w14:kx="0" w14:ky="0" w14:algn="none">
            <w14:srgbClr w14:val="000000"/>
          </w14:shadow>
        </w:rPr>
        <w:t xml:space="preserve">SOMO35 </w:t>
      </w:r>
      <w:r>
        <w:rPr>
          <w:rFonts w:ascii="Mulish" w:hAnsi="Mulish"/>
          <w:bCs/>
          <w:sz w:val="22"/>
          <w:szCs w:val="22"/>
          <w14:shadow w14:blurRad="0" w14:dist="0" w14:dir="0" w14:sx="0" w14:sy="0" w14:kx="0" w14:ky="0" w14:algn="none">
            <w14:srgbClr w14:val="000000"/>
          </w14:shadow>
        </w:rPr>
        <w:t>pouze za rok 2022</w:t>
      </w:r>
      <w:r w:rsidR="006729BB">
        <w:rPr>
          <w:rFonts w:ascii="Mulish" w:hAnsi="Mulish"/>
          <w:bCs/>
          <w:sz w:val="22"/>
          <w:szCs w:val="22"/>
          <w14:shadow w14:blurRad="0" w14:dist="0" w14:dir="0" w14:sx="0" w14:sy="0" w14:kx="0" w14:ky="0" w14:algn="none">
            <w14:srgbClr w14:val="000000"/>
          </w14:shadow>
        </w:rPr>
        <w:t>,</w:t>
      </w:r>
      <w:r>
        <w:rPr>
          <w:rFonts w:ascii="Mulish" w:hAnsi="Mulish"/>
          <w:bCs/>
          <w:sz w:val="22"/>
          <w:szCs w:val="22"/>
          <w14:shadow w14:blurRad="0" w14:dist="0" w14:dir="0" w14:sx="0" w14:sy="0" w14:kx="0" w14:ky="0" w14:algn="none">
            <w14:srgbClr w14:val="000000"/>
          </w14:shadow>
        </w:rPr>
        <w:t xml:space="preserve"> </w:t>
      </w:r>
      <w:r w:rsidR="006729BB">
        <w:rPr>
          <w:rFonts w:ascii="Mulish" w:hAnsi="Mulish"/>
          <w:bCs/>
          <w:sz w:val="22"/>
          <w:szCs w:val="22"/>
          <w14:shadow w14:blurRad="0" w14:dist="0" w14:dir="0" w14:sx="0" w14:sy="0" w14:kx="0" w14:ky="0" w14:algn="none">
            <w14:srgbClr w14:val="000000"/>
          </w14:shadow>
        </w:rPr>
        <w:t>se odhad</w:t>
      </w:r>
      <w:r>
        <w:rPr>
          <w:rFonts w:ascii="Mulish" w:hAnsi="Mulish"/>
          <w:bCs/>
          <w:sz w:val="22"/>
          <w:szCs w:val="22"/>
          <w14:shadow w14:blurRad="0" w14:dist="0" w14:dir="0" w14:sx="0" w14:sy="0" w14:kx="0" w14:ky="0" w14:algn="none">
            <w14:srgbClr w14:val="000000"/>
          </w14:shadow>
        </w:rPr>
        <w:t xml:space="preserve"> </w:t>
      </w:r>
      <w:r w:rsidR="006729BB">
        <w:rPr>
          <w:rFonts w:ascii="Mulish" w:hAnsi="Mulish"/>
          <w:bCs/>
          <w:sz w:val="22"/>
          <w:szCs w:val="22"/>
          <w14:shadow w14:blurRad="0" w14:dist="0" w14:dir="0" w14:sx="0" w14:sy="0" w14:kx="0" w14:ky="0" w14:algn="none">
            <w14:srgbClr w14:val="000000"/>
          </w14:shadow>
        </w:rPr>
        <w:t>a</w:t>
      </w:r>
      <w:r w:rsidRPr="00F8550C">
        <w:rPr>
          <w:rFonts w:ascii="Mulish" w:hAnsi="Mulish"/>
          <w:bCs/>
          <w:sz w:val="22"/>
          <w:szCs w:val="22"/>
          <w14:shadow w14:blurRad="0" w14:dist="0" w14:dir="0" w14:sx="0" w14:sy="0" w14:kx="0" w14:ky="0" w14:algn="none">
            <w14:srgbClr w14:val="000000"/>
          </w14:shadow>
        </w:rPr>
        <w:t>tributivní</w:t>
      </w:r>
      <w:r w:rsidR="006729BB">
        <w:rPr>
          <w:rFonts w:ascii="Mulish" w:hAnsi="Mulish"/>
          <w:bCs/>
          <w:sz w:val="22"/>
          <w:szCs w:val="22"/>
          <w14:shadow w14:blurRad="0" w14:dist="0" w14:dir="0" w14:sx="0" w14:sy="0" w14:kx="0" w14:ky="0" w14:algn="none">
            <w14:srgbClr w14:val="000000"/>
          </w14:shadow>
        </w:rPr>
        <w:t>ho</w:t>
      </w:r>
      <w:r w:rsidRPr="00F8550C">
        <w:rPr>
          <w:rFonts w:ascii="Mulish" w:hAnsi="Mulish"/>
          <w:bCs/>
          <w:sz w:val="22"/>
          <w:szCs w:val="22"/>
          <w14:shadow w14:blurRad="0" w14:dist="0" w14:dir="0" w14:sx="0" w14:sy="0" w14:kx="0" w14:ky="0" w14:algn="none">
            <w14:srgbClr w14:val="000000"/>
          </w14:shadow>
        </w:rPr>
        <w:t xml:space="preserve"> rizik</w:t>
      </w:r>
      <w:r w:rsidR="006729BB">
        <w:rPr>
          <w:rFonts w:ascii="Mulish" w:hAnsi="Mulish"/>
          <w:bCs/>
          <w:sz w:val="22"/>
          <w:szCs w:val="22"/>
          <w14:shadow w14:blurRad="0" w14:dist="0" w14:dir="0" w14:sx="0" w14:sy="0" w14:kx="0" w14:ky="0" w14:algn="none">
            <w14:srgbClr w14:val="000000"/>
          </w14:shadow>
        </w:rPr>
        <w:t>a</w:t>
      </w:r>
      <w:r w:rsidRPr="00F8550C">
        <w:rPr>
          <w:rFonts w:ascii="Mulish" w:hAnsi="Mulish"/>
          <w:bCs/>
          <w:sz w:val="22"/>
          <w:szCs w:val="22"/>
          <w14:shadow w14:blurRad="0" w14:dist="0" w14:dir="0" w14:sx="0" w14:sy="0" w14:kx="0" w14:ky="0" w14:algn="none">
            <w14:srgbClr w14:val="000000"/>
          </w14:shadow>
        </w:rPr>
        <w:t xml:space="preserve"> </w:t>
      </w:r>
      <w:r w:rsidR="006729BB">
        <w:rPr>
          <w:rFonts w:ascii="Mulish" w:hAnsi="Mulish"/>
          <w:bCs/>
          <w:sz w:val="22"/>
          <w:szCs w:val="22"/>
          <w14:shadow w14:blurRad="0" w14:dist="0" w14:dir="0" w14:sx="0" w14:sy="0" w14:kx="0" w14:ky="0" w14:algn="none">
            <w14:srgbClr w14:val="000000"/>
          </w14:shadow>
        </w:rPr>
        <w:t xml:space="preserve">předčané úmrtnosti na respirační onemocnění </w:t>
      </w:r>
      <w:r w:rsidRPr="00F8550C">
        <w:rPr>
          <w:rFonts w:ascii="Mulish" w:hAnsi="Mulish"/>
          <w:bCs/>
          <w:sz w:val="22"/>
          <w:szCs w:val="22"/>
          <w14:shadow w14:blurRad="0" w14:dist="0" w14:dir="0" w14:sx="0" w14:sy="0" w14:kx="0" w14:ky="0" w14:algn="none">
            <w14:srgbClr w14:val="000000"/>
          </w14:shadow>
        </w:rPr>
        <w:t>v ČR pohybuje mezi 0,23 až 4,52 % se střední hodnotou 1,96 %.</w:t>
      </w:r>
    </w:p>
    <w:p w14:paraId="19B243F3" w14:textId="1F398F97" w:rsidR="00830024" w:rsidRPr="00CA0CEC" w:rsidRDefault="00830024" w:rsidP="006B45B7">
      <w:pPr>
        <w:pStyle w:val="Zkladntext"/>
        <w:tabs>
          <w:tab w:val="left" w:pos="5103"/>
        </w:tabs>
        <w:spacing w:before="120" w:line="276" w:lineRule="auto"/>
        <w:jc w:val="both"/>
        <w:rPr>
          <w:rFonts w:ascii="Mulish" w:hAnsi="Mulish"/>
          <w:sz w:val="22"/>
          <w:szCs w:val="22"/>
          <w14:shadow w14:blurRad="0" w14:dist="0" w14:dir="0" w14:sx="0" w14:sy="0" w14:kx="0" w14:ky="0" w14:algn="none">
            <w14:srgbClr w14:val="000000"/>
          </w14:shadow>
        </w:rPr>
      </w:pPr>
      <w:r w:rsidRPr="00CA0CEC">
        <w:rPr>
          <w:rFonts w:ascii="Mulish" w:hAnsi="Mulish"/>
          <w:b/>
          <w:bCs/>
          <w:sz w:val="22"/>
          <w:szCs w:val="22"/>
          <w14:shadow w14:blurRad="0" w14:dist="0" w14:dir="0" w14:sx="0" w14:sy="0" w14:kx="0" w14:ky="0" w14:algn="none">
            <w14:srgbClr w14:val="000000"/>
          </w14:shadow>
        </w:rPr>
        <w:t>Suspendované částice frakce PM</w:t>
      </w:r>
      <w:r w:rsidRPr="00CA0CEC">
        <w:rPr>
          <w:rFonts w:ascii="Mulish" w:hAnsi="Mulish"/>
          <w:b/>
          <w:bCs/>
          <w:sz w:val="22"/>
          <w:szCs w:val="22"/>
          <w:vertAlign w:val="subscript"/>
          <w14:shadow w14:blurRad="0" w14:dist="0" w14:dir="0" w14:sx="0" w14:sy="0" w14:kx="0" w14:ky="0" w14:algn="none">
            <w14:srgbClr w14:val="000000"/>
          </w14:shadow>
        </w:rPr>
        <w:t>10</w:t>
      </w:r>
      <w:r w:rsidRPr="00CA0CEC">
        <w:rPr>
          <w:rFonts w:ascii="Mulish" w:hAnsi="Mulish"/>
          <w:b/>
          <w:bCs/>
          <w:sz w:val="22"/>
          <w:szCs w:val="22"/>
          <w14:shadow w14:blurRad="0" w14:dist="0" w14:dir="0" w14:sx="0" w14:sy="0" w14:kx="0" w14:ky="0" w14:algn="none">
            <w14:srgbClr w14:val="000000"/>
          </w14:shadow>
        </w:rPr>
        <w:t xml:space="preserve"> a PM</w:t>
      </w:r>
      <w:r w:rsidRPr="00CA0CEC">
        <w:rPr>
          <w:rFonts w:ascii="Mulish" w:hAnsi="Mulish"/>
          <w:b/>
          <w:bCs/>
          <w:sz w:val="22"/>
          <w:szCs w:val="22"/>
          <w:vertAlign w:val="subscript"/>
          <w14:shadow w14:blurRad="0" w14:dist="0" w14:dir="0" w14:sx="0" w14:sy="0" w14:kx="0" w14:ky="0" w14:algn="none">
            <w14:srgbClr w14:val="000000"/>
          </w14:shadow>
        </w:rPr>
        <w:t>2,5</w:t>
      </w:r>
    </w:p>
    <w:p w14:paraId="66E581CA" w14:textId="4BB6A653" w:rsidR="00830024" w:rsidRPr="00CA0CEC" w:rsidRDefault="00830024" w:rsidP="00F8550C">
      <w:pPr>
        <w:pStyle w:val="Zkladntext"/>
        <w:numPr>
          <w:ilvl w:val="0"/>
          <w:numId w:val="35"/>
        </w:numPr>
        <w:tabs>
          <w:tab w:val="left" w:pos="5103"/>
        </w:tabs>
        <w:spacing w:before="120" w:line="276" w:lineRule="auto"/>
        <w:ind w:left="360"/>
        <w:jc w:val="both"/>
        <w:rPr>
          <w:rFonts w:ascii="Mulish" w:hAnsi="Mulish"/>
          <w:sz w:val="22"/>
          <w:szCs w:val="22"/>
          <w14:shadow w14:blurRad="0" w14:dist="0" w14:dir="0" w14:sx="0" w14:sy="0" w14:kx="0" w14:ky="0" w14:algn="none">
            <w14:srgbClr w14:val="000000"/>
          </w14:shadow>
        </w:rPr>
      </w:pPr>
      <w:r w:rsidRPr="00CA0CEC">
        <w:rPr>
          <w:rFonts w:ascii="Mulish" w:hAnsi="Mulish"/>
          <w:sz w:val="22"/>
          <w:szCs w:val="22"/>
          <w14:shadow w14:blurRad="0" w14:dist="0" w14:dir="0" w14:sx="0" w14:sy="0" w14:kx="0" w14:ky="0" w14:algn="none">
            <w14:srgbClr w14:val="000000"/>
          </w14:shadow>
        </w:rPr>
        <w:t>Odhad zdravotních rizik suspendovaných částic vychází AQG WHO (202</w:t>
      </w:r>
      <w:r w:rsidR="00CA0CEC" w:rsidRPr="00CA0CEC">
        <w:rPr>
          <w:rFonts w:ascii="Mulish" w:hAnsi="Mulish"/>
          <w:sz w:val="22"/>
          <w:szCs w:val="22"/>
          <w14:shadow w14:blurRad="0" w14:dist="0" w14:dir="0" w14:sx="0" w14:sy="0" w14:kx="0" w14:ky="0" w14:algn="none">
            <w14:srgbClr w14:val="000000"/>
          </w14:shadow>
        </w:rPr>
        <w:t>2</w:t>
      </w:r>
      <w:r w:rsidRPr="00CA0CEC">
        <w:rPr>
          <w:rFonts w:ascii="Mulish" w:hAnsi="Mulish"/>
          <w:sz w:val="22"/>
          <w:szCs w:val="22"/>
          <w14:shadow w14:blurRad="0" w14:dist="0" w14:dir="0" w14:sx="0" w14:sy="0" w14:kx="0" w14:ky="0" w14:algn="none">
            <w14:srgbClr w14:val="000000"/>
          </w14:shadow>
        </w:rPr>
        <w:t>), kde je uvedeno, že zvýšení průměrné roční koncentrace PM</w:t>
      </w:r>
      <w:r w:rsidRPr="00CA0CEC">
        <w:rPr>
          <w:rFonts w:ascii="Mulish" w:hAnsi="Mulish"/>
          <w:sz w:val="22"/>
          <w:szCs w:val="22"/>
          <w:vertAlign w:val="subscript"/>
          <w14:shadow w14:blurRad="0" w14:dist="0" w14:dir="0" w14:sx="0" w14:sy="0" w14:kx="0" w14:ky="0" w14:algn="none">
            <w14:srgbClr w14:val="000000"/>
          </w14:shadow>
        </w:rPr>
        <w:t>2,5</w:t>
      </w:r>
      <w:r w:rsidRPr="00CA0CEC">
        <w:rPr>
          <w:rFonts w:ascii="Mulish" w:hAnsi="Mulish"/>
          <w:sz w:val="22"/>
          <w:szCs w:val="22"/>
          <w14:shadow w14:blurRad="0" w14:dist="0" w14:dir="0" w14:sx="0" w14:sy="0" w14:kx="0" w14:ky="0" w14:algn="none">
            <w14:srgbClr w14:val="000000"/>
          </w14:shadow>
        </w:rPr>
        <w:t xml:space="preserve"> o 10 µg/m</w:t>
      </w:r>
      <w:r w:rsidRPr="00CA0CEC">
        <w:rPr>
          <w:rFonts w:ascii="Mulish" w:hAnsi="Mulish"/>
          <w:sz w:val="22"/>
          <w:szCs w:val="22"/>
          <w:vertAlign w:val="superscript"/>
          <w14:shadow w14:blurRad="0" w14:dist="0" w14:dir="0" w14:sx="0" w14:sy="0" w14:kx="0" w14:ky="0" w14:algn="none">
            <w14:srgbClr w14:val="000000"/>
          </w14:shadow>
        </w:rPr>
        <w:t>3</w:t>
      </w:r>
      <w:r w:rsidRPr="00CA0CEC">
        <w:rPr>
          <w:rFonts w:ascii="Mulish" w:hAnsi="Mulish"/>
          <w:sz w:val="22"/>
          <w:szCs w:val="22"/>
          <w14:shadow w14:blurRad="0" w14:dist="0" w14:dir="0" w14:sx="0" w14:sy="0" w14:kx="0" w14:ky="0" w14:algn="none">
            <w14:srgbClr w14:val="000000"/>
          </w14:shadow>
        </w:rPr>
        <w:t xml:space="preserve"> </w:t>
      </w:r>
      <w:r w:rsidR="00F8550C">
        <w:rPr>
          <w:rFonts w:ascii="Mulish" w:hAnsi="Mulish"/>
          <w:sz w:val="22"/>
          <w:szCs w:val="22"/>
          <w14:shadow w14:blurRad="0" w14:dist="0" w14:dir="0" w14:sx="0" w14:sy="0" w14:kx="0" w14:ky="0" w14:algn="none">
            <w14:srgbClr w14:val="000000"/>
          </w14:shadow>
        </w:rPr>
        <w:t>nad 5 µg/m</w:t>
      </w:r>
      <w:r w:rsidR="00F8550C" w:rsidRPr="00F8550C">
        <w:rPr>
          <w:rFonts w:ascii="Mulish" w:hAnsi="Mulish"/>
          <w:sz w:val="22"/>
          <w:szCs w:val="22"/>
          <w:vertAlign w:val="superscript"/>
          <w14:shadow w14:blurRad="0" w14:dist="0" w14:dir="0" w14:sx="0" w14:sy="0" w14:kx="0" w14:ky="0" w14:algn="none">
            <w14:srgbClr w14:val="000000"/>
          </w14:shadow>
        </w:rPr>
        <w:t>3</w:t>
      </w:r>
      <w:r w:rsidR="00F8550C">
        <w:rPr>
          <w:rFonts w:ascii="Mulish" w:hAnsi="Mulish"/>
          <w:sz w:val="22"/>
          <w:szCs w:val="22"/>
          <w14:shadow w14:blurRad="0" w14:dist="0" w14:dir="0" w14:sx="0" w14:sy="0" w14:kx="0" w14:ky="0" w14:algn="none">
            <w14:srgbClr w14:val="000000"/>
          </w14:shadow>
        </w:rPr>
        <w:t xml:space="preserve"> </w:t>
      </w:r>
      <w:r w:rsidRPr="00CA0CEC">
        <w:rPr>
          <w:rFonts w:ascii="Mulish" w:hAnsi="Mulish"/>
          <w:sz w:val="22"/>
          <w:szCs w:val="22"/>
          <w14:shadow w14:blurRad="0" w14:dist="0" w14:dir="0" w14:sx="0" w14:sy="0" w14:kx="0" w14:ky="0" w14:algn="none">
            <w14:srgbClr w14:val="000000"/>
          </w14:shadow>
        </w:rPr>
        <w:t>zvyšuje celkovou úmrtnost exponované populace průměrně o 8 %. Při použití přepočtu přes frakci PM</w:t>
      </w:r>
      <w:r w:rsidRPr="00CA0CEC">
        <w:rPr>
          <w:rFonts w:ascii="Mulish" w:hAnsi="Mulish"/>
          <w:sz w:val="22"/>
          <w:szCs w:val="22"/>
          <w:vertAlign w:val="subscript"/>
          <w14:shadow w14:blurRad="0" w14:dist="0" w14:dir="0" w14:sx="0" w14:sy="0" w14:kx="0" w14:ky="0" w14:algn="none">
            <w14:srgbClr w14:val="000000"/>
          </w14:shadow>
        </w:rPr>
        <w:t>10</w:t>
      </w:r>
      <w:r w:rsidRPr="00CA0CEC">
        <w:rPr>
          <w:rFonts w:ascii="Mulish" w:hAnsi="Mulish"/>
          <w:sz w:val="22"/>
          <w:szCs w:val="22"/>
          <w14:shadow w14:blurRad="0" w14:dist="0" w14:dir="0" w14:sx="0" w14:sy="0" w14:kx="0" w14:ky="0" w14:algn="none">
            <w14:srgbClr w14:val="000000"/>
          </w14:shadow>
        </w:rPr>
        <w:t xml:space="preserve"> pak </w:t>
      </w:r>
      <w:r w:rsidRPr="00CA0CEC">
        <w:rPr>
          <w:rFonts w:ascii="Mulish" w:hAnsi="Mulish"/>
          <w:sz w:val="22"/>
          <w:szCs w:val="22"/>
          <w14:shadow w14:blurRad="0" w14:dist="0" w14:dir="0" w14:sx="0" w14:sy="0" w14:kx="0" w14:ky="0" w14:algn="none">
            <w14:srgbClr w14:val="000000"/>
          </w14:shadow>
        </w:rPr>
        <w:lastRenderedPageBreak/>
        <w:t>zvýšení o každých 10 µg/m</w:t>
      </w:r>
      <w:r w:rsidRPr="00CA0CEC">
        <w:rPr>
          <w:rFonts w:ascii="Mulish" w:hAnsi="Mulish"/>
          <w:sz w:val="22"/>
          <w:szCs w:val="22"/>
          <w:vertAlign w:val="superscript"/>
          <w14:shadow w14:blurRad="0" w14:dist="0" w14:dir="0" w14:sx="0" w14:sy="0" w14:kx="0" w14:ky="0" w14:algn="none">
            <w14:srgbClr w14:val="000000"/>
          </w14:shadow>
        </w:rPr>
        <w:t>3</w:t>
      </w:r>
      <w:r w:rsidRPr="00CA0CEC">
        <w:rPr>
          <w:rFonts w:ascii="Mulish" w:hAnsi="Mulish"/>
          <w:sz w:val="22"/>
          <w:szCs w:val="22"/>
          <w14:shadow w14:blurRad="0" w14:dist="0" w14:dir="0" w14:sx="0" w14:sy="0" w14:kx="0" w14:ky="0" w14:algn="none">
            <w14:srgbClr w14:val="000000"/>
          </w14:shadow>
        </w:rPr>
        <w:t xml:space="preserve"> PM</w:t>
      </w:r>
      <w:r w:rsidRPr="00CA0CEC">
        <w:rPr>
          <w:rFonts w:ascii="Mulish" w:hAnsi="Mulish"/>
          <w:sz w:val="22"/>
          <w:szCs w:val="22"/>
          <w:vertAlign w:val="subscript"/>
          <w14:shadow w14:blurRad="0" w14:dist="0" w14:dir="0" w14:sx="0" w14:sy="0" w14:kx="0" w14:ky="0" w14:algn="none">
            <w14:srgbClr w14:val="000000"/>
          </w14:shadow>
        </w:rPr>
        <w:t>10</w:t>
      </w:r>
      <w:r w:rsidRPr="00CA0CEC">
        <w:rPr>
          <w:rFonts w:ascii="Mulish" w:hAnsi="Mulish"/>
          <w:sz w:val="22"/>
          <w:szCs w:val="22"/>
          <w14:shadow w14:blurRad="0" w14:dist="0" w14:dir="0" w14:sx="0" w14:sy="0" w14:kx="0" w14:ky="0" w14:algn="none">
            <w14:srgbClr w14:val="000000"/>
          </w14:shadow>
        </w:rPr>
        <w:t>/rok nad 15 µg/m</w:t>
      </w:r>
      <w:r w:rsidRPr="00CA0CEC">
        <w:rPr>
          <w:rFonts w:ascii="Mulish" w:hAnsi="Mulish"/>
          <w:sz w:val="22"/>
          <w:szCs w:val="22"/>
          <w:vertAlign w:val="superscript"/>
          <w14:shadow w14:blurRad="0" w14:dist="0" w14:dir="0" w14:sx="0" w14:sy="0" w14:kx="0" w14:ky="0" w14:algn="none">
            <w14:srgbClr w14:val="000000"/>
          </w14:shadow>
        </w:rPr>
        <w:t>3</w:t>
      </w:r>
      <w:r w:rsidRPr="00CA0CEC">
        <w:rPr>
          <w:rFonts w:ascii="Mulish" w:hAnsi="Mulish"/>
          <w:sz w:val="22"/>
          <w:szCs w:val="22"/>
          <w14:shadow w14:blurRad="0" w14:dist="0" w14:dir="0" w14:sx="0" w14:sy="0" w14:kx="0" w14:ky="0" w14:algn="none">
            <w14:srgbClr w14:val="000000"/>
          </w14:shadow>
        </w:rPr>
        <w:t xml:space="preserve"> zvyšuje celkovou úmrtnost exponované populace o 4,1 %.</w:t>
      </w:r>
    </w:p>
    <w:p w14:paraId="5C0AAE62" w14:textId="1DEFB80A" w:rsidR="00830024" w:rsidRPr="00F8550C" w:rsidRDefault="00830024" w:rsidP="00F8550C">
      <w:pPr>
        <w:pStyle w:val="Zkladntext"/>
        <w:numPr>
          <w:ilvl w:val="0"/>
          <w:numId w:val="35"/>
        </w:numPr>
        <w:tabs>
          <w:tab w:val="left" w:pos="5103"/>
        </w:tabs>
        <w:spacing w:before="120" w:line="276" w:lineRule="auto"/>
        <w:ind w:left="360"/>
        <w:jc w:val="both"/>
        <w:rPr>
          <w:rFonts w:ascii="Mulish" w:hAnsi="Mulish"/>
          <w:sz w:val="22"/>
          <w:szCs w:val="22"/>
          <w14:shadow w14:blurRad="0" w14:dist="0" w14:dir="0" w14:sx="0" w14:sy="0" w14:kx="0" w14:ky="0" w14:algn="none">
            <w14:srgbClr w14:val="000000"/>
          </w14:shadow>
        </w:rPr>
      </w:pPr>
      <w:r w:rsidRPr="00F8550C">
        <w:rPr>
          <w:rFonts w:ascii="Mulish" w:hAnsi="Mulish"/>
          <w:sz w:val="22"/>
          <w:szCs w:val="22"/>
          <w14:shadow w14:blurRad="0" w14:dist="0" w14:dir="0" w14:sx="0" w14:sy="0" w14:kx="0" w14:ky="0" w14:algn="none">
            <w14:srgbClr w14:val="000000"/>
          </w14:shadow>
        </w:rPr>
        <w:t>Odhad vlivu znečištění ovzduší PM</w:t>
      </w:r>
      <w:r w:rsidRPr="00F8550C">
        <w:rPr>
          <w:rFonts w:ascii="Mulish" w:hAnsi="Mulish"/>
          <w:sz w:val="22"/>
          <w:szCs w:val="22"/>
          <w:vertAlign w:val="subscript"/>
          <w14:shadow w14:blurRad="0" w14:dist="0" w14:dir="0" w14:sx="0" w14:sy="0" w14:kx="0" w14:ky="0" w14:algn="none">
            <w14:srgbClr w14:val="000000"/>
          </w14:shadow>
        </w:rPr>
        <w:t>10</w:t>
      </w:r>
      <w:r w:rsidRPr="00F8550C">
        <w:rPr>
          <w:rFonts w:ascii="Mulish" w:hAnsi="Mulish"/>
          <w:sz w:val="22"/>
          <w:szCs w:val="22"/>
          <w14:shadow w14:blurRad="0" w14:dist="0" w14:dir="0" w14:sx="0" w14:sy="0" w14:kx="0" w14:ky="0" w14:algn="none">
            <w14:srgbClr w14:val="000000"/>
          </w14:shadow>
        </w:rPr>
        <w:t xml:space="preserve"> na předčasnou úmrtnost populace (tj. na navýšení celkové úmrtnosti v ČR) se pohyboval od 0 % v čistých oblastech až </w:t>
      </w:r>
      <w:r w:rsidR="001E1321">
        <w:rPr>
          <w:rFonts w:ascii="Mulish" w:hAnsi="Mulish"/>
          <w:sz w:val="22"/>
          <w:szCs w:val="22"/>
          <w14:shadow w14:blurRad="0" w14:dist="0" w14:dir="0" w14:sx="0" w14:sy="0" w14:kx="0" w14:ky="0" w14:algn="none">
            <w14:srgbClr w14:val="000000"/>
          </w14:shadow>
        </w:rPr>
        <w:t xml:space="preserve">k </w:t>
      </w:r>
      <w:r w:rsidRPr="00F8550C">
        <w:rPr>
          <w:rFonts w:ascii="Mulish" w:hAnsi="Mulish"/>
          <w:sz w:val="22"/>
          <w:szCs w:val="22"/>
          <w14:shadow w14:blurRad="0" w14:dist="0" w14:dir="0" w14:sx="0" w14:sy="0" w14:kx="0" w14:ky="0" w14:algn="none">
            <w14:srgbClr w14:val="000000"/>
          </w14:shadow>
        </w:rPr>
        <w:sym w:font="Symbol" w:char="F0BB"/>
      </w:r>
      <w:r w:rsidRPr="00F8550C">
        <w:rPr>
          <w:rFonts w:ascii="Mulish" w:hAnsi="Mulish"/>
          <w:sz w:val="22"/>
          <w:szCs w:val="22"/>
          <w14:shadow w14:blurRad="0" w14:dist="0" w14:dir="0" w14:sx="0" w14:sy="0" w14:kx="0" w14:ky="0" w14:algn="none">
            <w14:srgbClr w14:val="000000"/>
          </w14:shadow>
        </w:rPr>
        <w:t xml:space="preserve"> </w:t>
      </w:r>
      <w:r w:rsidR="00F8550C" w:rsidRPr="00F8550C">
        <w:rPr>
          <w:rFonts w:ascii="Mulish" w:hAnsi="Mulish"/>
          <w:sz w:val="22"/>
          <w:szCs w:val="22"/>
          <w14:shadow w14:blurRad="0" w14:dist="0" w14:dir="0" w14:sx="0" w14:sy="0" w14:kx="0" w14:ky="0" w14:algn="none">
            <w14:srgbClr w14:val="000000"/>
          </w14:shadow>
        </w:rPr>
        <w:t>6,7</w:t>
      </w:r>
      <w:r w:rsidRPr="00F8550C">
        <w:rPr>
          <w:rFonts w:ascii="Mulish" w:hAnsi="Mulish"/>
          <w:sz w:val="22"/>
          <w:szCs w:val="22"/>
          <w14:shadow w14:blurRad="0" w14:dist="0" w14:dir="0" w14:sx="0" w14:sy="0" w14:kx="0" w14:ky="0" w14:algn="none">
            <w14:srgbClr w14:val="000000"/>
          </w14:shadow>
        </w:rPr>
        <w:t xml:space="preserve"> % </w:t>
      </w:r>
      <w:r w:rsidR="00F8550C" w:rsidRPr="00F8550C">
        <w:rPr>
          <w:rFonts w:ascii="Mulish" w:hAnsi="Mulish"/>
          <w:sz w:val="22"/>
          <w:szCs w:val="22"/>
          <w14:shadow w14:blurRad="0" w14:dist="0" w14:dir="0" w14:sx="0" w14:sy="0" w14:kx="0" w14:ky="0" w14:algn="none">
            <w14:srgbClr w14:val="000000"/>
          </w14:shadow>
        </w:rPr>
        <w:br/>
      </w:r>
      <w:r w:rsidRPr="00F8550C">
        <w:rPr>
          <w:rFonts w:ascii="Mulish" w:hAnsi="Mulish"/>
          <w:sz w:val="22"/>
          <w:szCs w:val="22"/>
          <w14:shadow w14:blurRad="0" w14:dist="0" w14:dir="0" w14:sx="0" w14:sy="0" w14:kx="0" w14:ky="0" w14:algn="none">
            <w14:srgbClr w14:val="000000"/>
          </w14:shadow>
        </w:rPr>
        <w:t xml:space="preserve">v oblastech zvláště intenzivně zatížených dopravou a průmyslem (nejvíce v průmyslově zatížené oblasti Ostravsko-Karvinska). V pozaďových lokalitách ČR je znečištění ovzduší aerosolem </w:t>
      </w:r>
      <w:r w:rsidR="00CA0CEC" w:rsidRPr="00F8550C">
        <w:rPr>
          <w:rFonts w:ascii="Mulish" w:hAnsi="Mulish"/>
          <w:sz w:val="22"/>
          <w:szCs w:val="22"/>
          <w14:shadow w14:blurRad="0" w14:dist="0" w14:dir="0" w14:sx="0" w14:sy="0" w14:kx="0" w14:ky="0" w14:algn="none">
            <w14:srgbClr w14:val="000000"/>
          </w14:shadow>
        </w:rPr>
        <w:t xml:space="preserve">na úrovni cílových hodnot WHO. </w:t>
      </w:r>
      <w:r w:rsidRPr="00F8550C">
        <w:rPr>
          <w:rFonts w:ascii="Mulish" w:hAnsi="Mulish"/>
          <w:sz w:val="22"/>
          <w:szCs w:val="22"/>
          <w14:shadow w14:blurRad="0" w14:dist="0" w14:dir="0" w14:sx="0" w14:sy="0" w14:kx="0" w14:ky="0" w14:algn="none">
            <w14:srgbClr w14:val="000000"/>
          </w14:shadow>
        </w:rPr>
        <w:t xml:space="preserve">I při uvědomnění </w:t>
      </w:r>
      <w:r w:rsidR="00857984">
        <w:rPr>
          <w:rFonts w:ascii="Mulish" w:hAnsi="Mulish"/>
          <w:sz w:val="22"/>
          <w:szCs w:val="22"/>
          <w14:shadow w14:blurRad="0" w14:dist="0" w14:dir="0" w14:sx="0" w14:sy="0" w14:kx="0" w14:ky="0" w14:algn="none">
            <w14:srgbClr w14:val="000000"/>
          </w14:shadow>
        </w:rPr>
        <w:t xml:space="preserve">si </w:t>
      </w:r>
      <w:r w:rsidRPr="00F8550C">
        <w:rPr>
          <w:rFonts w:ascii="Mulish" w:hAnsi="Mulish"/>
          <w:sz w:val="22"/>
          <w:szCs w:val="22"/>
          <w14:shadow w14:blurRad="0" w14:dist="0" w14:dir="0" w14:sx="0" w14:sy="0" w14:kx="0" w14:ky="0" w14:algn="none">
            <w14:srgbClr w14:val="000000"/>
          </w14:shadow>
        </w:rPr>
        <w:t>mírného mez</w:t>
      </w:r>
      <w:r w:rsidR="00857984">
        <w:rPr>
          <w:rFonts w:ascii="Mulish" w:hAnsi="Mulish"/>
          <w:sz w:val="22"/>
          <w:szCs w:val="22"/>
          <w14:shadow w14:blurRad="0" w14:dist="0" w14:dir="0" w14:sx="0" w14:sy="0" w14:kx="0" w14:ky="0" w14:algn="none">
            <w14:srgbClr w14:val="000000"/>
          </w14:shadow>
        </w:rPr>
        <w:t>i</w:t>
      </w:r>
      <w:r w:rsidRPr="00F8550C">
        <w:rPr>
          <w:rFonts w:ascii="Mulish" w:hAnsi="Mulish"/>
          <w:sz w:val="22"/>
          <w:szCs w:val="22"/>
          <w14:shadow w14:blurRad="0" w14:dist="0" w14:dir="0" w14:sx="0" w14:sy="0" w14:kx="0" w14:ky="0" w14:algn="none">
            <w14:srgbClr w14:val="000000"/>
          </w14:shadow>
        </w:rPr>
        <w:t xml:space="preserve">ročního </w:t>
      </w:r>
      <w:r w:rsidR="00CA0CEC" w:rsidRPr="00F8550C">
        <w:rPr>
          <w:rFonts w:ascii="Mulish" w:hAnsi="Mulish"/>
          <w:sz w:val="22"/>
          <w:szCs w:val="22"/>
          <w14:shadow w14:blurRad="0" w14:dist="0" w14:dir="0" w14:sx="0" w14:sy="0" w14:kx="0" w14:ky="0" w14:algn="none">
            <w14:srgbClr w14:val="000000"/>
          </w14:shadow>
        </w:rPr>
        <w:t>poklesu</w:t>
      </w:r>
      <w:r w:rsidRPr="00F8550C">
        <w:rPr>
          <w:rFonts w:ascii="Mulish" w:hAnsi="Mulish"/>
          <w:sz w:val="22"/>
          <w:szCs w:val="22"/>
          <w14:shadow w14:blurRad="0" w14:dist="0" w14:dir="0" w14:sx="0" w14:sy="0" w14:kx="0" w14:ky="0" w14:algn="none">
            <w14:srgbClr w14:val="000000"/>
          </w14:shadow>
        </w:rPr>
        <w:t xml:space="preserve"> o cca 1 µg/m</w:t>
      </w:r>
      <w:r w:rsidRPr="00F8550C">
        <w:rPr>
          <w:rFonts w:ascii="Mulish" w:hAnsi="Mulish"/>
          <w:sz w:val="22"/>
          <w:szCs w:val="22"/>
          <w:vertAlign w:val="superscript"/>
          <w14:shadow w14:blurRad="0" w14:dist="0" w14:dir="0" w14:sx="0" w14:sy="0" w14:kx="0" w14:ky="0" w14:algn="none">
            <w14:srgbClr w14:val="000000"/>
          </w14:shadow>
        </w:rPr>
        <w:t>3</w:t>
      </w:r>
      <w:r w:rsidRPr="00F8550C">
        <w:rPr>
          <w:rFonts w:ascii="Mulish" w:hAnsi="Mulish"/>
          <w:sz w:val="22"/>
          <w:szCs w:val="22"/>
          <w14:shadow w14:blurRad="0" w14:dist="0" w14:dir="0" w14:sx="0" w14:sy="0" w14:kx="0" w14:ky="0" w14:algn="none">
            <w14:srgbClr w14:val="000000"/>
          </w14:shadow>
        </w:rPr>
        <w:t xml:space="preserve"> ročního průměru, se stav zásadně nemění.</w:t>
      </w:r>
    </w:p>
    <w:p w14:paraId="17FC1222" w14:textId="1B7E8F57" w:rsidR="00F8550C" w:rsidRPr="00F8550C" w:rsidRDefault="00F8550C" w:rsidP="00F8550C">
      <w:pPr>
        <w:pStyle w:val="Zkladntext"/>
        <w:numPr>
          <w:ilvl w:val="0"/>
          <w:numId w:val="35"/>
        </w:numPr>
        <w:tabs>
          <w:tab w:val="left" w:pos="5103"/>
        </w:tabs>
        <w:spacing w:before="120" w:line="276" w:lineRule="auto"/>
        <w:ind w:left="360"/>
        <w:jc w:val="both"/>
        <w:rPr>
          <w:rFonts w:ascii="Mulish" w:hAnsi="Mulish"/>
          <w:sz w:val="22"/>
          <w:szCs w:val="22"/>
          <w14:shadow w14:blurRad="0" w14:dist="0" w14:dir="0" w14:sx="0" w14:sy="0" w14:kx="0" w14:ky="0" w14:algn="none">
            <w14:srgbClr w14:val="000000"/>
          </w14:shadow>
        </w:rPr>
      </w:pPr>
      <w:r>
        <w:rPr>
          <w:rFonts w:ascii="Mulish" w:hAnsi="Mulish"/>
          <w:sz w:val="22"/>
          <w:szCs w:val="22"/>
          <w14:shadow w14:blurRad="0" w14:dist="0" w14:dir="0" w14:sx="0" w14:sy="0" w14:kx="0" w14:ky="0" w14:algn="none">
            <w14:srgbClr w14:val="000000"/>
          </w14:shadow>
        </w:rPr>
        <w:t>Pokud pro o</w:t>
      </w:r>
      <w:r w:rsidRPr="00F8550C">
        <w:rPr>
          <w:rFonts w:ascii="Mulish" w:hAnsi="Mulish"/>
          <w:sz w:val="22"/>
          <w:szCs w:val="22"/>
          <w14:shadow w14:blurRad="0" w14:dist="0" w14:dir="0" w14:sx="0" w14:sy="0" w14:kx="0" w14:ky="0" w14:algn="none">
            <w14:srgbClr w14:val="000000"/>
          </w14:shadow>
        </w:rPr>
        <w:t xml:space="preserve">dhad navýšení celkové předčasné úmrtnosti, ke kterému přispěla expozice </w:t>
      </w:r>
      <w:r>
        <w:rPr>
          <w:rFonts w:ascii="Mulish" w:hAnsi="Mulish"/>
          <w:sz w:val="22"/>
          <w:szCs w:val="22"/>
          <w14:shadow w14:blurRad="0" w14:dist="0" w14:dir="0" w14:sx="0" w14:sy="0" w14:kx="0" w14:ky="0" w14:algn="none">
            <w14:srgbClr w14:val="000000"/>
          </w14:shadow>
        </w:rPr>
        <w:t xml:space="preserve">použijeme data </w:t>
      </w:r>
      <w:r w:rsidRPr="00F8550C">
        <w:rPr>
          <w:rFonts w:ascii="Mulish" w:hAnsi="Mulish"/>
          <w:sz w:val="22"/>
          <w:szCs w:val="22"/>
          <w14:shadow w14:blurRad="0" w14:dist="0" w14:dir="0" w14:sx="0" w14:sy="0" w14:kx="0" w14:ky="0" w14:algn="none">
            <w14:srgbClr w14:val="000000"/>
          </w14:shadow>
        </w:rPr>
        <w:t>suspendovaný</w:t>
      </w:r>
      <w:r>
        <w:rPr>
          <w:rFonts w:ascii="Mulish" w:hAnsi="Mulish"/>
          <w:sz w:val="22"/>
          <w:szCs w:val="22"/>
          <w14:shadow w14:blurRad="0" w14:dist="0" w14:dir="0" w14:sx="0" w14:sy="0" w14:kx="0" w14:ky="0" w14:algn="none">
            <w14:srgbClr w14:val="000000"/>
          </w14:shadow>
        </w:rPr>
        <w:t>ch</w:t>
      </w:r>
      <w:r w:rsidRPr="00F8550C">
        <w:rPr>
          <w:rFonts w:ascii="Mulish" w:hAnsi="Mulish"/>
          <w:sz w:val="22"/>
          <w:szCs w:val="22"/>
          <w14:shadow w14:blurRad="0" w14:dist="0" w14:dir="0" w14:sx="0" w14:sy="0" w14:kx="0" w14:ky="0" w14:algn="none">
            <w14:srgbClr w14:val="000000"/>
          </w14:shadow>
        </w:rPr>
        <w:t xml:space="preserve"> částic frakce PM</w:t>
      </w:r>
      <w:r w:rsidRPr="00F8550C">
        <w:rPr>
          <w:rFonts w:ascii="Mulish" w:hAnsi="Mulish"/>
          <w:sz w:val="22"/>
          <w:szCs w:val="22"/>
          <w:vertAlign w:val="subscript"/>
          <w14:shadow w14:blurRad="0" w14:dist="0" w14:dir="0" w14:sx="0" w14:sy="0" w14:kx="0" w14:ky="0" w14:algn="none">
            <w14:srgbClr w14:val="000000"/>
          </w14:shadow>
        </w:rPr>
        <w:t>2,5</w:t>
      </w:r>
      <w:r w:rsidRPr="00857984">
        <w:rPr>
          <w:rFonts w:ascii="Mulish" w:hAnsi="Mulish"/>
          <w:sz w:val="22"/>
          <w:szCs w:val="22"/>
          <w14:shadow w14:blurRad="0" w14:dist="0" w14:dir="0" w14:sx="0" w14:sy="0" w14:kx="0" w14:ky="0" w14:algn="none">
            <w14:srgbClr w14:val="000000"/>
          </w14:shadow>
        </w:rPr>
        <w:t xml:space="preserve">, </w:t>
      </w:r>
      <w:r>
        <w:rPr>
          <w:rFonts w:ascii="Mulish" w:hAnsi="Mulish"/>
          <w:sz w:val="22"/>
          <w:szCs w:val="22"/>
          <w14:shadow w14:blurRad="0" w14:dist="0" w14:dir="0" w14:sx="0" w14:sy="0" w14:kx="0" w14:ky="0" w14:algn="none">
            <w14:srgbClr w14:val="000000"/>
          </w14:shadow>
        </w:rPr>
        <w:t xml:space="preserve">pak </w:t>
      </w:r>
      <w:r w:rsidRPr="00F8550C">
        <w:rPr>
          <w:rFonts w:ascii="Mulish" w:hAnsi="Mulish"/>
          <w:sz w:val="22"/>
          <w:szCs w:val="22"/>
          <w14:shadow w14:blurRad="0" w14:dist="0" w14:dir="0" w14:sx="0" w14:sy="0" w14:kx="0" w14:ky="0" w14:algn="none">
            <w14:srgbClr w14:val="000000"/>
          </w14:shadow>
        </w:rPr>
        <w:t>se v roce 2022, podle míry zátěže konkrétní lokality, pohyboval od 1,7 % v čistých městských lokalitách až po 15,6 % v oblastech zvláště intenzivně zatížených dopravou a průmyslem, případně dálkovým transportem. Střední hodnota 17,4 µg/m</w:t>
      </w:r>
      <w:r w:rsidRPr="00F8550C">
        <w:rPr>
          <w:rFonts w:ascii="Mulish" w:hAnsi="Mulish"/>
          <w:sz w:val="22"/>
          <w:szCs w:val="22"/>
          <w:vertAlign w:val="superscript"/>
          <w14:shadow w14:blurRad="0" w14:dist="0" w14:dir="0" w14:sx="0" w14:sy="0" w14:kx="0" w14:ky="0" w14:algn="none">
            <w14:srgbClr w14:val="000000"/>
          </w14:shadow>
        </w:rPr>
        <w:t>3</w:t>
      </w:r>
      <w:r w:rsidRPr="00F8550C">
        <w:rPr>
          <w:rFonts w:ascii="Mulish" w:hAnsi="Mulish"/>
          <w:sz w:val="22"/>
          <w:szCs w:val="22"/>
          <w14:shadow w14:blurRad="0" w14:dist="0" w14:dir="0" w14:sx="0" w14:sy="0" w14:kx="0" w14:ky="0" w14:algn="none">
            <w14:srgbClr w14:val="000000"/>
          </w14:shadow>
        </w:rPr>
        <w:t xml:space="preserve"> v městských dopravou a průmyslem nezatížených oblastech pak odpovídá 10 % navýšení celkové předčasné úmrtnosti. Odhad populačního rizika pro rok 2022 ale nelze pro přetrvávající ovlivnění demografických dat epidemií Covid-19 provést.</w:t>
      </w:r>
    </w:p>
    <w:p w14:paraId="0594A979" w14:textId="242DF476" w:rsidR="00830024" w:rsidRPr="00F8550C" w:rsidRDefault="00830024" w:rsidP="00F8550C">
      <w:pPr>
        <w:pStyle w:val="Zkladntext"/>
        <w:numPr>
          <w:ilvl w:val="0"/>
          <w:numId w:val="35"/>
        </w:numPr>
        <w:tabs>
          <w:tab w:val="left" w:pos="5103"/>
        </w:tabs>
        <w:spacing w:before="120" w:line="276" w:lineRule="auto"/>
        <w:ind w:left="360"/>
        <w:jc w:val="both"/>
        <w:rPr>
          <w:rFonts w:ascii="Mulish" w:hAnsi="Mulish"/>
          <w:sz w:val="22"/>
          <w:szCs w:val="22"/>
          <w14:shadow w14:blurRad="0" w14:dist="0" w14:dir="0" w14:sx="0" w14:sy="0" w14:kx="0" w14:ky="0" w14:algn="none">
            <w14:srgbClr w14:val="000000"/>
          </w14:shadow>
        </w:rPr>
      </w:pPr>
      <w:r w:rsidRPr="00F8550C">
        <w:rPr>
          <w:rFonts w:ascii="Mulish" w:hAnsi="Mulish"/>
          <w:bCs/>
          <w:sz w:val="22"/>
          <w:szCs w:val="22"/>
          <w14:shadow w14:blurRad="0" w14:dist="0" w14:dir="0" w14:sx="0" w14:sy="0" w14:kx="0" w14:ky="0" w14:algn="none">
            <w14:srgbClr w14:val="000000"/>
          </w14:shadow>
        </w:rPr>
        <w:t>O</w:t>
      </w:r>
      <w:r w:rsidRPr="00F8550C">
        <w:rPr>
          <w:rFonts w:ascii="Mulish" w:hAnsi="Mulish"/>
          <w:sz w:val="22"/>
          <w:szCs w:val="22"/>
          <w14:shadow w14:blurRad="0" w14:dist="0" w14:dir="0" w14:sx="0" w14:sy="0" w14:kx="0" w14:ky="0" w14:algn="none">
            <w14:srgbClr w14:val="000000"/>
          </w14:shadow>
        </w:rPr>
        <w:t>dhad počtu ztracených let života (tzv. YOLLs, Years of Life Lost) v důsledku znečištění ovzduší aerosolovými částicemi je vždy možno vzhledem k dostupnosti demografických údajů provést pouze pro předcházející rok, tj. rok 202</w:t>
      </w:r>
      <w:r w:rsidR="00F8550C" w:rsidRPr="00F8550C">
        <w:rPr>
          <w:rFonts w:ascii="Mulish" w:hAnsi="Mulish"/>
          <w:sz w:val="22"/>
          <w:szCs w:val="22"/>
          <w14:shadow w14:blurRad="0" w14:dist="0" w14:dir="0" w14:sx="0" w14:sy="0" w14:kx="0" w14:ky="0" w14:algn="none">
            <w14:srgbClr w14:val="000000"/>
          </w14:shadow>
        </w:rPr>
        <w:t>1</w:t>
      </w:r>
      <w:r w:rsidRPr="00F8550C">
        <w:rPr>
          <w:rFonts w:ascii="Mulish" w:hAnsi="Mulish"/>
          <w:sz w:val="22"/>
          <w:szCs w:val="22"/>
          <w14:shadow w14:blurRad="0" w14:dist="0" w14:dir="0" w14:sx="0" w14:sy="0" w14:kx="0" w14:ky="0" w14:algn="none">
            <w14:srgbClr w14:val="000000"/>
          </w14:shadow>
        </w:rPr>
        <w:t>. Pro rok 202</w:t>
      </w:r>
      <w:r w:rsidR="00F8550C" w:rsidRPr="00F8550C">
        <w:rPr>
          <w:rFonts w:ascii="Mulish" w:hAnsi="Mulish"/>
          <w:sz w:val="22"/>
          <w:szCs w:val="22"/>
          <w14:shadow w14:blurRad="0" w14:dist="0" w14:dir="0" w14:sx="0" w14:sy="0" w14:kx="0" w14:ky="0" w14:algn="none">
            <w14:srgbClr w14:val="000000"/>
          </w14:shadow>
        </w:rPr>
        <w:t>1</w:t>
      </w:r>
      <w:r w:rsidRPr="00F8550C">
        <w:rPr>
          <w:rFonts w:ascii="Mulish" w:hAnsi="Mulish"/>
          <w:sz w:val="22"/>
          <w:szCs w:val="22"/>
          <w14:shadow w14:blurRad="0" w14:dist="0" w14:dir="0" w14:sx="0" w14:sy="0" w14:kx="0" w14:ky="0" w14:algn="none">
            <w14:srgbClr w14:val="000000"/>
          </w14:shadow>
        </w:rPr>
        <w:t xml:space="preserve"> ale, pro zásadní ovlivnění demografických údajů epidemií </w:t>
      </w:r>
      <w:r w:rsidR="006B45B7" w:rsidRPr="00F8550C">
        <w:rPr>
          <w:rFonts w:ascii="Mulish" w:hAnsi="Mulish"/>
          <w:sz w:val="22"/>
          <w:szCs w:val="22"/>
          <w14:shadow w14:blurRad="0" w14:dist="0" w14:dir="0" w14:sx="0" w14:sy="0" w14:kx="0" w14:ky="0" w14:algn="none">
            <w14:srgbClr w14:val="000000"/>
          </w14:shadow>
        </w:rPr>
        <w:t>Covid-19</w:t>
      </w:r>
      <w:r w:rsidRPr="00F8550C">
        <w:rPr>
          <w:rFonts w:ascii="Mulish" w:hAnsi="Mulish"/>
          <w:sz w:val="22"/>
          <w:szCs w:val="22"/>
          <w14:shadow w14:blurRad="0" w14:dist="0" w14:dir="0" w14:sx="0" w14:sy="0" w14:kx="0" w14:ky="0" w14:algn="none">
            <w14:srgbClr w14:val="000000"/>
          </w14:shadow>
        </w:rPr>
        <w:t xml:space="preserve">, nelze odhad počtu ztracených let života v důsledku dlouhodobé expozice aerosolovým částicím provést. </w:t>
      </w:r>
    </w:p>
    <w:p w14:paraId="33364167" w14:textId="77777777" w:rsidR="00830024" w:rsidRPr="00815514" w:rsidRDefault="00830024" w:rsidP="00830024">
      <w:pPr>
        <w:pStyle w:val="Zkladntext"/>
        <w:tabs>
          <w:tab w:val="left" w:pos="5103"/>
        </w:tabs>
        <w:spacing w:before="120" w:line="240" w:lineRule="atLeast"/>
        <w:jc w:val="both"/>
        <w:rPr>
          <w:rFonts w:ascii="Mulish" w:hAnsi="Mulish"/>
          <w:b/>
          <w:sz w:val="22"/>
          <w:szCs w:val="22"/>
          <w14:shadow w14:blurRad="0" w14:dist="0" w14:dir="0" w14:sx="0" w14:sy="0" w14:kx="0" w14:ky="0" w14:algn="none">
            <w14:srgbClr w14:val="000000"/>
          </w14:shadow>
        </w:rPr>
      </w:pPr>
      <w:r w:rsidRPr="00815514">
        <w:rPr>
          <w:rFonts w:ascii="Mulish" w:hAnsi="Mulish"/>
          <w:b/>
          <w:bCs/>
          <w:sz w:val="22"/>
          <w:szCs w:val="22"/>
          <w14:shadow w14:blurRad="0" w14:dist="0" w14:dir="0" w14:sx="0" w14:sy="0" w14:kx="0" w14:ky="0" w14:algn="none">
            <w14:srgbClr w14:val="000000"/>
          </w14:shadow>
        </w:rPr>
        <w:t>Látky s karcinogenním působením - h</w:t>
      </w:r>
      <w:r w:rsidRPr="00815514">
        <w:rPr>
          <w:rFonts w:ascii="Mulish" w:hAnsi="Mulish"/>
          <w:b/>
          <w:sz w:val="22"/>
          <w:szCs w:val="22"/>
          <w14:shadow w14:blurRad="0" w14:dist="0" w14:dir="0" w14:sx="0" w14:sy="0" w14:kx="0" w14:ky="0" w14:algn="none">
            <w14:srgbClr w14:val="000000"/>
          </w14:shadow>
        </w:rPr>
        <w:t>odnocení jednotlivých látek:</w:t>
      </w:r>
    </w:p>
    <w:p w14:paraId="4377D9F8" w14:textId="63524870" w:rsidR="00830024" w:rsidRPr="00815514" w:rsidRDefault="00830024" w:rsidP="005041D0">
      <w:pPr>
        <w:pStyle w:val="Zkladntext"/>
        <w:tabs>
          <w:tab w:val="left" w:pos="5103"/>
        </w:tabs>
        <w:spacing w:before="120" w:line="276" w:lineRule="auto"/>
        <w:ind w:left="284"/>
        <w:jc w:val="both"/>
        <w:rPr>
          <w:rFonts w:ascii="Mulish" w:hAnsi="Mulish"/>
          <w:sz w:val="22"/>
          <w:szCs w:val="22"/>
          <w14:shadow w14:blurRad="0" w14:dist="0" w14:dir="0" w14:sx="0" w14:sy="0" w14:kx="0" w14:ky="0" w14:algn="none">
            <w14:srgbClr w14:val="000000"/>
          </w14:shadow>
        </w:rPr>
      </w:pPr>
      <w:r w:rsidRPr="00815514">
        <w:rPr>
          <w:rFonts w:ascii="Mulish" w:hAnsi="Mulish"/>
          <w:b/>
          <w:bCs/>
          <w:sz w:val="22"/>
          <w:szCs w:val="22"/>
          <w14:shadow w14:blurRad="0" w14:dist="0" w14:dir="0" w14:sx="0" w14:sy="0" w14:kx="0" w14:ky="0" w14:algn="none">
            <w14:srgbClr w14:val="000000"/>
          </w14:shadow>
        </w:rPr>
        <w:t>Arsen</w:t>
      </w:r>
      <w:r w:rsidRPr="00815514">
        <w:rPr>
          <w:rFonts w:ascii="Mulish" w:hAnsi="Mulish"/>
          <w:sz w:val="22"/>
          <w:szCs w:val="22"/>
          <w14:shadow w14:blurRad="0" w14:dist="0" w14:dir="0" w14:sx="0" w14:sy="0" w14:kx="0" w14:ky="0" w14:algn="none">
            <w14:srgbClr w14:val="000000"/>
          </w14:shadow>
        </w:rPr>
        <w:t xml:space="preserve"> – odhadované riziko se pohybuje v řádu jednotek případů na 10 miliónů obyvatel, ve více zatížených lokalitách se blíží hranici </w:t>
      </w:r>
      <w:r w:rsidR="00815514" w:rsidRPr="00815514">
        <w:rPr>
          <w:rFonts w:ascii="Mulish" w:hAnsi="Mulish"/>
          <w:sz w:val="22"/>
          <w:szCs w:val="22"/>
          <w14:shadow w14:blurRad="0" w14:dist="0" w14:dir="0" w14:sx="0" w14:sy="0" w14:kx="0" w14:ky="0" w14:algn="none">
            <w14:srgbClr w14:val="000000"/>
          </w14:shadow>
        </w:rPr>
        <w:t>osmi</w:t>
      </w:r>
      <w:r w:rsidRPr="00815514">
        <w:rPr>
          <w:rFonts w:ascii="Mulish" w:hAnsi="Mulish"/>
          <w:sz w:val="22"/>
          <w:szCs w:val="22"/>
          <w14:shadow w14:blurRad="0" w14:dist="0" w14:dir="0" w14:sx="0" w14:sy="0" w14:kx="0" w14:ky="0" w14:algn="none">
            <w14:srgbClr w14:val="000000"/>
          </w14:shadow>
        </w:rPr>
        <w:t xml:space="preserve"> případů na jeden milión obyvatel za 70 let. Jde tedy spíše o nízké zdravotní riziko. Jeho význam je dán skutečností, že se vždy jedná o emise z lokálně působících malých zdrojů nebo ze specifických zdrojů (velké průmyslové zdroje na Ostravsku).</w:t>
      </w:r>
    </w:p>
    <w:p w14:paraId="67F1D8DB" w14:textId="7BC432D3" w:rsidR="00830024" w:rsidRPr="00815514" w:rsidRDefault="00830024" w:rsidP="005041D0">
      <w:pPr>
        <w:pStyle w:val="Zkladntext"/>
        <w:tabs>
          <w:tab w:val="left" w:pos="5103"/>
        </w:tabs>
        <w:spacing w:before="120" w:line="276" w:lineRule="auto"/>
        <w:ind w:left="284"/>
        <w:jc w:val="both"/>
        <w:rPr>
          <w:rFonts w:ascii="Mulish" w:hAnsi="Mulish"/>
          <w:sz w:val="22"/>
          <w:szCs w:val="22"/>
          <w14:shadow w14:blurRad="0" w14:dist="0" w14:dir="0" w14:sx="0" w14:sy="0" w14:kx="0" w14:ky="0" w14:algn="none">
            <w14:srgbClr w14:val="000000"/>
          </w14:shadow>
        </w:rPr>
      </w:pPr>
      <w:r w:rsidRPr="00815514">
        <w:rPr>
          <w:rFonts w:ascii="Mulish" w:hAnsi="Mulish"/>
          <w:b/>
          <w:bCs/>
          <w:sz w:val="22"/>
          <w:szCs w:val="22"/>
          <w14:shadow w14:blurRad="0" w14:dist="0" w14:dir="0" w14:sx="0" w14:sy="0" w14:kx="0" w14:ky="0" w14:algn="none">
            <w14:srgbClr w14:val="000000"/>
          </w14:shadow>
        </w:rPr>
        <w:t>Nikl</w:t>
      </w:r>
      <w:r w:rsidRPr="00815514">
        <w:rPr>
          <w:rFonts w:ascii="Mulish" w:hAnsi="Mulish"/>
          <w:sz w:val="22"/>
          <w:szCs w:val="22"/>
          <w14:shadow w14:blurRad="0" w14:dist="0" w14:dir="0" w14:sx="0" w14:sy="0" w14:kx="0" w14:ky="0" w14:algn="none">
            <w14:srgbClr w14:val="000000"/>
          </w14:shadow>
        </w:rPr>
        <w:t xml:space="preserve"> – odhad rizika má rozmezí cca jednoho případu na 10 miliónů až  jednoho případu na </w:t>
      </w:r>
      <w:r w:rsidR="00815514">
        <w:rPr>
          <w:rFonts w:ascii="Mulish" w:hAnsi="Mulish"/>
          <w:sz w:val="22"/>
          <w:szCs w:val="22"/>
          <w14:shadow w14:blurRad="0" w14:dist="0" w14:dir="0" w14:sx="0" w14:sy="0" w14:kx="0" w14:ky="0" w14:algn="none">
            <w14:srgbClr w14:val="000000"/>
          </w14:shadow>
        </w:rPr>
        <w:br/>
      </w:r>
      <w:r w:rsidRPr="00815514">
        <w:rPr>
          <w:rFonts w:ascii="Mulish" w:hAnsi="Mulish"/>
          <w:sz w:val="22"/>
          <w:szCs w:val="22"/>
          <w14:shadow w14:blurRad="0" w14:dist="0" w14:dir="0" w14:sx="0" w14:sy="0" w14:kx="0" w14:ky="0" w14:algn="none">
            <w14:srgbClr w14:val="000000"/>
          </w14:shadow>
        </w:rPr>
        <w:t>1 milión za 70 let a jsou dlouhodobě na nízké postupně klesající úrovni. Opět se v případě nálezu zvýšených hodnot vždy jedná o emise z lokálně působících, malých, průmyslových, specifických zdrojů (ocelárny, galvanovny).</w:t>
      </w:r>
    </w:p>
    <w:p w14:paraId="44193AA0" w14:textId="66B1CBB9" w:rsidR="00830024" w:rsidRPr="00815514" w:rsidRDefault="00830024" w:rsidP="005041D0">
      <w:pPr>
        <w:pStyle w:val="Zkladntext"/>
        <w:tabs>
          <w:tab w:val="left" w:pos="5103"/>
        </w:tabs>
        <w:spacing w:before="120" w:line="276" w:lineRule="auto"/>
        <w:ind w:left="284"/>
        <w:jc w:val="both"/>
        <w:rPr>
          <w:rFonts w:ascii="Mulish" w:hAnsi="Mulish"/>
          <w:sz w:val="22"/>
          <w:szCs w:val="22"/>
          <w14:shadow w14:blurRad="0" w14:dist="0" w14:dir="0" w14:sx="0" w14:sy="0" w14:kx="0" w14:ky="0" w14:algn="none">
            <w14:srgbClr w14:val="000000"/>
          </w14:shadow>
        </w:rPr>
      </w:pPr>
      <w:r w:rsidRPr="00815514">
        <w:rPr>
          <w:rFonts w:ascii="Mulish" w:hAnsi="Mulish"/>
          <w:b/>
          <w:bCs/>
          <w:sz w:val="22"/>
          <w:szCs w:val="22"/>
          <w14:shadow w14:blurRad="0" w14:dist="0" w14:dir="0" w14:sx="0" w14:sy="0" w14:kx="0" w14:ky="0" w14:algn="none">
            <w14:srgbClr w14:val="000000"/>
          </w14:shadow>
        </w:rPr>
        <w:t>Kadmium</w:t>
      </w:r>
      <w:r w:rsidRPr="00815514">
        <w:rPr>
          <w:rFonts w:ascii="Mulish" w:hAnsi="Mulish"/>
          <w:sz w:val="22"/>
          <w:szCs w:val="22"/>
          <w14:shadow w14:blurRad="0" w14:dist="0" w14:dir="0" w14:sx="0" w14:sy="0" w14:kx="0" w14:ky="0" w14:algn="none">
            <w14:srgbClr w14:val="000000"/>
          </w14:shadow>
        </w:rPr>
        <w:t xml:space="preserve"> – odhad rizika je na úrovni cca jednoho případu na 1</w:t>
      </w:r>
      <w:r w:rsidR="00815514" w:rsidRPr="00815514">
        <w:rPr>
          <w:rFonts w:ascii="Mulish" w:hAnsi="Mulish"/>
          <w:sz w:val="22"/>
          <w:szCs w:val="22"/>
          <w14:shadow w14:blurRad="0" w14:dist="0" w14:dir="0" w14:sx="0" w14:sy="0" w14:kx="0" w14:ky="0" w14:algn="none">
            <w14:srgbClr w14:val="000000"/>
          </w14:shadow>
        </w:rPr>
        <w:t>0</w:t>
      </w:r>
      <w:r w:rsidRPr="00815514">
        <w:rPr>
          <w:rFonts w:ascii="Mulish" w:hAnsi="Mulish"/>
          <w:sz w:val="22"/>
          <w:szCs w:val="22"/>
          <w14:shadow w14:blurRad="0" w14:dist="0" w14:dir="0" w14:sx="0" w14:sy="0" w14:kx="0" w14:ky="0" w14:algn="none">
            <w14:srgbClr w14:val="000000"/>
          </w14:shadow>
        </w:rPr>
        <w:t xml:space="preserve">0 miliónů obyvatel za </w:t>
      </w:r>
      <w:r w:rsidRPr="00815514">
        <w:rPr>
          <w:rFonts w:ascii="Mulish" w:hAnsi="Mulish"/>
          <w:sz w:val="22"/>
          <w:szCs w:val="22"/>
          <w14:shadow w14:blurRad="0" w14:dist="0" w14:dir="0" w14:sx="0" w14:sy="0" w14:kx="0" w14:ky="0" w14:algn="none">
            <w14:srgbClr w14:val="000000"/>
          </w14:shadow>
        </w:rPr>
        <w:br/>
        <w:t>70 let a jsou dlouhodobě nejnižší z hodnocených látek s karcinogenním působením. Specifickým případem jsou zvýšené hodnoty ze sklářské výroby v okolí Tanvaldu, kde mohou dosáhnout až hodnoty jednoho případu na milión obyvatel za 70 let.</w:t>
      </w:r>
    </w:p>
    <w:p w14:paraId="16EAE9A3" w14:textId="236045FE" w:rsidR="00830024" w:rsidRPr="00815514" w:rsidRDefault="00830024" w:rsidP="005041D0">
      <w:pPr>
        <w:pStyle w:val="Zkladntext"/>
        <w:tabs>
          <w:tab w:val="left" w:pos="5103"/>
        </w:tabs>
        <w:spacing w:before="120" w:line="276" w:lineRule="auto"/>
        <w:ind w:left="284"/>
        <w:jc w:val="both"/>
        <w:rPr>
          <w:rFonts w:ascii="Mulish" w:hAnsi="Mulish"/>
          <w:sz w:val="22"/>
          <w:szCs w:val="22"/>
          <w14:shadow w14:blurRad="0" w14:dist="0" w14:dir="0" w14:sx="0" w14:sy="0" w14:kx="0" w14:ky="0" w14:algn="none">
            <w14:srgbClr w14:val="000000"/>
          </w14:shadow>
        </w:rPr>
      </w:pPr>
      <w:r w:rsidRPr="00815514">
        <w:rPr>
          <w:rFonts w:ascii="Mulish" w:hAnsi="Mulish"/>
          <w:b/>
          <w:bCs/>
          <w:sz w:val="22"/>
          <w:szCs w:val="22"/>
          <w14:shadow w14:blurRad="0" w14:dist="0" w14:dir="0" w14:sx="0" w14:sy="0" w14:kx="0" w14:ky="0" w14:algn="none">
            <w14:srgbClr w14:val="000000"/>
          </w14:shadow>
        </w:rPr>
        <w:lastRenderedPageBreak/>
        <w:t>Benzen</w:t>
      </w:r>
      <w:r w:rsidRPr="00815514">
        <w:rPr>
          <w:rFonts w:ascii="Mulish" w:hAnsi="Mulish"/>
          <w:sz w:val="22"/>
          <w:szCs w:val="22"/>
          <w14:shadow w14:blurRad="0" w14:dist="0" w14:dir="0" w14:sx="0" w14:sy="0" w14:kx="0" w14:ky="0" w14:algn="none">
            <w14:srgbClr w14:val="000000"/>
          </w14:shadow>
        </w:rPr>
        <w:t xml:space="preserve"> – odhad rizika je na úrovni cca tří případů na milión obyvatel za 70 let. V moravsko-slezských průmyslových oblastech mohou dosáhnout hodnot až </w:t>
      </w:r>
      <w:r w:rsidR="00815514" w:rsidRPr="00815514">
        <w:rPr>
          <w:rFonts w:ascii="Mulish" w:hAnsi="Mulish"/>
          <w:sz w:val="22"/>
          <w:szCs w:val="22"/>
          <w14:shadow w14:blurRad="0" w14:dist="0" w14:dir="0" w14:sx="0" w14:sy="0" w14:kx="0" w14:ky="0" w14:algn="none">
            <w14:srgbClr w14:val="000000"/>
          </w14:shadow>
        </w:rPr>
        <w:t>tří</w:t>
      </w:r>
      <w:r w:rsidRPr="00815514">
        <w:rPr>
          <w:rFonts w:ascii="Mulish" w:hAnsi="Mulish"/>
          <w:sz w:val="22"/>
          <w:szCs w:val="22"/>
          <w14:shadow w14:blurRad="0" w14:dist="0" w14:dir="0" w14:sx="0" w14:sy="0" w14:kx="0" w14:ky="0" w14:algn="none">
            <w14:srgbClr w14:val="000000"/>
          </w14:shadow>
        </w:rPr>
        <w:t xml:space="preserve"> případů na 100 tisíc obyvatel za 70 let.</w:t>
      </w:r>
    </w:p>
    <w:p w14:paraId="4D11E011" w14:textId="3CB910B6" w:rsidR="00830024" w:rsidRPr="00815514" w:rsidRDefault="00830024" w:rsidP="005041D0">
      <w:pPr>
        <w:pStyle w:val="Zkladntext"/>
        <w:tabs>
          <w:tab w:val="left" w:pos="5103"/>
        </w:tabs>
        <w:spacing w:before="120" w:line="276" w:lineRule="auto"/>
        <w:ind w:left="284"/>
        <w:jc w:val="both"/>
        <w:rPr>
          <w:rFonts w:ascii="Mulish" w:hAnsi="Mulish"/>
          <w:sz w:val="22"/>
          <w:szCs w:val="22"/>
          <w14:shadow w14:blurRad="0" w14:dist="0" w14:dir="0" w14:sx="0" w14:sy="0" w14:kx="0" w14:ky="0" w14:algn="none">
            <w14:srgbClr w14:val="000000"/>
          </w14:shadow>
        </w:rPr>
      </w:pPr>
      <w:r w:rsidRPr="00815514">
        <w:rPr>
          <w:rFonts w:ascii="Mulish" w:hAnsi="Mulish"/>
          <w:b/>
          <w:bCs/>
          <w:sz w:val="22"/>
          <w:szCs w:val="22"/>
          <w14:shadow w14:blurRad="0" w14:dist="0" w14:dir="0" w14:sx="0" w14:sy="0" w14:kx="0" w14:ky="0" w14:algn="none">
            <w14:srgbClr w14:val="000000"/>
          </w14:shadow>
        </w:rPr>
        <w:t>PAU</w:t>
      </w:r>
      <w:r w:rsidRPr="00815514">
        <w:rPr>
          <w:rFonts w:ascii="Mulish" w:hAnsi="Mulish"/>
          <w:sz w:val="22"/>
          <w:szCs w:val="22"/>
          <w14:shadow w14:blurRad="0" w14:dist="0" w14:dir="0" w14:sx="0" w14:sy="0" w14:kx="0" w14:ky="0" w14:algn="none">
            <w14:srgbClr w14:val="000000"/>
          </w14:shadow>
        </w:rPr>
        <w:t xml:space="preserve"> – největší navýšení rizika nádorového onemocnění dlouhodobě představuje expozice polycyklickým aromatickým uhlovodíkům (PAU), jejichž indikátorem je benzo[</w:t>
      </w:r>
      <w:r w:rsidRPr="00815514">
        <w:rPr>
          <w:rFonts w:ascii="Mulish" w:hAnsi="Mulish"/>
          <w:i/>
          <w:iCs/>
          <w:sz w:val="22"/>
          <w:szCs w:val="22"/>
          <w14:shadow w14:blurRad="0" w14:dist="0" w14:dir="0" w14:sx="0" w14:sy="0" w14:kx="0" w14:ky="0" w14:algn="none">
            <w14:srgbClr w14:val="000000"/>
          </w14:shadow>
        </w:rPr>
        <w:t>a</w:t>
      </w:r>
      <w:r w:rsidRPr="00815514">
        <w:rPr>
          <w:rFonts w:ascii="Mulish" w:hAnsi="Mulish"/>
          <w:sz w:val="22"/>
          <w:szCs w:val="22"/>
          <w14:shadow w14:blurRad="0" w14:dist="0" w14:dir="0" w14:sx="0" w14:sy="0" w14:kx="0" w14:ky="0" w14:algn="none">
            <w14:srgbClr w14:val="000000"/>
          </w14:shadow>
        </w:rPr>
        <w:t xml:space="preserve">]pyren. Z vypočtených hodnot pro jednotlivé typy městských lokalit lze velmi přibližně odhadnout, že vliv emisí PAU z dopravy, kombinovaný v některých lokalitách s emisemi z domácích topenišť, vede k navýšení zdravotních rizik o dva případy na 100 tisíc </w:t>
      </w:r>
      <w:r w:rsidR="003F1BE8">
        <w:rPr>
          <w:rFonts w:ascii="Mulish" w:hAnsi="Mulish"/>
          <w:sz w:val="22"/>
          <w:szCs w:val="22"/>
          <w14:shadow w14:blurRad="0" w14:dist="0" w14:dir="0" w14:sx="0" w14:sy="0" w14:kx="0" w14:ky="0" w14:algn="none">
            <w14:srgbClr w14:val="000000"/>
          </w14:shadow>
        </w:rPr>
        <w:t xml:space="preserve">až </w:t>
      </w:r>
      <w:r w:rsidRPr="00815514">
        <w:rPr>
          <w:rFonts w:ascii="Mulish" w:hAnsi="Mulish"/>
          <w:sz w:val="22"/>
          <w:szCs w:val="22"/>
          <w14:shadow w14:blurRad="0" w14:dist="0" w14:dir="0" w14:sx="0" w14:sy="0" w14:kx="0" w14:ky="0" w14:algn="none">
            <w14:srgbClr w14:val="000000"/>
          </w14:shadow>
        </w:rPr>
        <w:t xml:space="preserve">do </w:t>
      </w:r>
      <w:r w:rsidR="00815514" w:rsidRPr="00815514">
        <w:rPr>
          <w:rFonts w:ascii="Mulish" w:hAnsi="Mulish"/>
          <w:sz w:val="22"/>
          <w:szCs w:val="22"/>
          <w14:shadow w14:blurRad="0" w14:dist="0" w14:dir="0" w14:sx="0" w14:sy="0" w14:kx="0" w14:ky="0" w14:algn="none">
            <w14:srgbClr w14:val="000000"/>
          </w14:shadow>
        </w:rPr>
        <w:t>dvou</w:t>
      </w:r>
      <w:r w:rsidRPr="00815514">
        <w:rPr>
          <w:rFonts w:ascii="Mulish" w:hAnsi="Mulish"/>
          <w:sz w:val="22"/>
          <w:szCs w:val="22"/>
          <w14:shadow w14:blurRad="0" w14:dist="0" w14:dir="0" w14:sx="0" w14:sy="0" w14:kx="0" w14:ky="0" w14:algn="none">
            <w14:srgbClr w14:val="000000"/>
          </w14:shadow>
        </w:rPr>
        <w:t xml:space="preserve"> případů na 10 tisíc obyvatel. V moravsko-slezských lokalitách ovlivněných velkými průmyslovými zdroji </w:t>
      </w:r>
      <w:r w:rsidR="00815514">
        <w:rPr>
          <w:rFonts w:ascii="Mulish" w:hAnsi="Mulish"/>
          <w:sz w:val="22"/>
          <w:szCs w:val="22"/>
          <w14:shadow w14:blurRad="0" w14:dist="0" w14:dir="0" w14:sx="0" w14:sy="0" w14:kx="0" w14:ky="0" w14:algn="none">
            <w14:srgbClr w14:val="000000"/>
          </w14:shadow>
        </w:rPr>
        <w:br/>
      </w:r>
      <w:r w:rsidRPr="00815514">
        <w:rPr>
          <w:rFonts w:ascii="Mulish" w:hAnsi="Mulish"/>
          <w:sz w:val="22"/>
          <w:szCs w:val="22"/>
          <w14:shadow w14:blurRad="0" w14:dist="0" w14:dir="0" w14:sx="0" w14:sy="0" w14:kx="0" w14:ky="0" w14:algn="none">
            <w14:srgbClr w14:val="000000"/>
          </w14:shadow>
        </w:rPr>
        <w:t xml:space="preserve">a dálkovým transportem je hodnota individuálního rizika vyšší než v ostatních městských lokalitách a představuje teoreticky až </w:t>
      </w:r>
      <w:r w:rsidR="00815514" w:rsidRPr="00815514">
        <w:rPr>
          <w:rFonts w:ascii="Mulish" w:hAnsi="Mulish"/>
          <w:sz w:val="22"/>
          <w:szCs w:val="22"/>
          <w14:shadow w14:blurRad="0" w14:dist="0" w14:dir="0" w14:sx="0" w14:sy="0" w14:kx="0" w14:ky="0" w14:algn="none">
            <w14:srgbClr w14:val="000000"/>
          </w14:shadow>
        </w:rPr>
        <w:t>šesti</w:t>
      </w:r>
      <w:r w:rsidRPr="00815514">
        <w:rPr>
          <w:rFonts w:ascii="Mulish" w:hAnsi="Mulish"/>
          <w:sz w:val="22"/>
          <w:szCs w:val="22"/>
          <w14:shadow w14:blurRad="0" w14:dist="0" w14:dir="0" w14:sx="0" w14:sy="0" w14:kx="0" w14:ky="0" w14:algn="none">
            <w14:srgbClr w14:val="000000"/>
          </w14:shadow>
        </w:rPr>
        <w:t xml:space="preserve"> případů na 10 tisíc obyvatel za 70 let.</w:t>
      </w:r>
    </w:p>
    <w:p w14:paraId="41CDBB73" w14:textId="10740D82" w:rsidR="00830024" w:rsidRPr="00815514" w:rsidRDefault="00830024" w:rsidP="00F7529A">
      <w:pPr>
        <w:pStyle w:val="Zkladntext"/>
        <w:tabs>
          <w:tab w:val="left" w:pos="5103"/>
        </w:tabs>
        <w:spacing w:before="120" w:line="276" w:lineRule="auto"/>
        <w:ind w:left="284"/>
        <w:jc w:val="both"/>
        <w:rPr>
          <w:rFonts w:ascii="Mulish" w:hAnsi="Mulish"/>
          <w:b/>
          <w:sz w:val="22"/>
          <w:szCs w:val="22"/>
          <w14:shadow w14:blurRad="0" w14:dist="0" w14:dir="0" w14:sx="0" w14:sy="0" w14:kx="0" w14:ky="0" w14:algn="none">
            <w14:srgbClr w14:val="000000"/>
          </w14:shadow>
        </w:rPr>
      </w:pPr>
      <w:r w:rsidRPr="00815514">
        <w:rPr>
          <w:rFonts w:ascii="Mulish" w:hAnsi="Mulish"/>
          <w:b/>
          <w:sz w:val="22"/>
          <w:szCs w:val="22"/>
          <w14:shadow w14:blurRad="0" w14:dist="0" w14:dir="0" w14:sx="0" w14:sy="0" w14:kx="0" w14:ky="0" w14:algn="none">
            <w14:srgbClr w14:val="000000"/>
          </w14:shadow>
        </w:rPr>
        <w:t>Výše hodnocené látky s karcinogenním působením mohly v roce 202</w:t>
      </w:r>
      <w:r w:rsidR="00815514" w:rsidRPr="00815514">
        <w:rPr>
          <w:rFonts w:ascii="Mulish" w:hAnsi="Mulish"/>
          <w:b/>
          <w:sz w:val="22"/>
          <w:szCs w:val="22"/>
          <w14:shadow w14:blurRad="0" w14:dist="0" w14:dir="0" w14:sx="0" w14:sy="0" w14:kx="0" w14:ky="0" w14:algn="none">
            <w14:srgbClr w14:val="000000"/>
          </w14:shadow>
        </w:rPr>
        <w:t>2</w:t>
      </w:r>
      <w:r w:rsidRPr="00815514">
        <w:rPr>
          <w:rFonts w:ascii="Mulish" w:hAnsi="Mulish"/>
          <w:b/>
          <w:sz w:val="22"/>
          <w:szCs w:val="22"/>
          <w14:shadow w14:blurRad="0" w14:dist="0" w14:dir="0" w14:sx="0" w14:sy="0" w14:kx="0" w14:ky="0" w14:algn="none">
            <w14:srgbClr w14:val="000000"/>
          </w14:shadow>
        </w:rPr>
        <w:t xml:space="preserve"> v podmínkách ČR zvýšit riziko vzniku nádorového onemocnění při 70leté (celoživotní) expozici, podle typu/kategiri</w:t>
      </w:r>
      <w:r w:rsidR="00857984">
        <w:rPr>
          <w:rFonts w:ascii="Mulish" w:hAnsi="Mulish"/>
          <w:b/>
          <w:sz w:val="22"/>
          <w:szCs w:val="22"/>
          <w14:shadow w14:blurRad="0" w14:dist="0" w14:dir="0" w14:sx="0" w14:sy="0" w14:kx="0" w14:ky="0" w14:algn="none">
            <w14:srgbClr w14:val="000000"/>
          </w14:shadow>
        </w:rPr>
        <w:t>e</w:t>
      </w:r>
      <w:r w:rsidRPr="00815514">
        <w:rPr>
          <w:rFonts w:ascii="Mulish" w:hAnsi="Mulish"/>
          <w:b/>
          <w:sz w:val="22"/>
          <w:szCs w:val="22"/>
          <w14:shadow w14:blurRad="0" w14:dist="0" w14:dir="0" w14:sx="0" w14:sy="0" w14:kx="0" w14:ky="0" w14:algn="none">
            <w14:srgbClr w14:val="000000"/>
          </w14:shadow>
        </w:rPr>
        <w:t xml:space="preserve"> lokality, o 1 až </w:t>
      </w:r>
      <w:r w:rsidR="00815514" w:rsidRPr="00815514">
        <w:rPr>
          <w:rFonts w:ascii="Mulish" w:hAnsi="Mulish"/>
          <w:b/>
          <w:sz w:val="22"/>
          <w:szCs w:val="22"/>
          <w14:shadow w14:blurRad="0" w14:dist="0" w14:dir="0" w14:sx="0" w14:sy="0" w14:kx="0" w14:ky="0" w14:algn="none">
            <w14:srgbClr w14:val="000000"/>
          </w14:shadow>
        </w:rPr>
        <w:t>6</w:t>
      </w:r>
      <w:r w:rsidRPr="00815514">
        <w:rPr>
          <w:rFonts w:ascii="Mulish" w:hAnsi="Mulish"/>
          <w:b/>
          <w:sz w:val="22"/>
          <w:szCs w:val="22"/>
          <w14:shadow w14:blurRad="0" w14:dist="0" w14:dir="0" w14:sx="0" w14:sy="0" w14:kx="0" w14:ky="0" w14:algn="none">
            <w14:srgbClr w14:val="000000"/>
          </w14:shadow>
        </w:rPr>
        <w:t xml:space="preserve"> případů na 10 tisíc obyvatel. Situace byla srovnatelná </w:t>
      </w:r>
      <w:r w:rsidRPr="00815514">
        <w:rPr>
          <w:rFonts w:ascii="Mulish" w:hAnsi="Mulish"/>
          <w:b/>
          <w:sz w:val="22"/>
          <w:szCs w:val="22"/>
          <w14:shadow w14:blurRad="0" w14:dist="0" w14:dir="0" w14:sx="0" w14:sy="0" w14:kx="0" w14:ky="0" w14:algn="none">
            <w14:srgbClr w14:val="000000"/>
          </w14:shadow>
        </w:rPr>
        <w:br/>
        <w:t>s roky 2017 až 202</w:t>
      </w:r>
      <w:r w:rsidR="00815514" w:rsidRPr="00815514">
        <w:rPr>
          <w:rFonts w:ascii="Mulish" w:hAnsi="Mulish"/>
          <w:b/>
          <w:sz w:val="22"/>
          <w:szCs w:val="22"/>
          <w14:shadow w14:blurRad="0" w14:dist="0" w14:dir="0" w14:sx="0" w14:sy="0" w14:kx="0" w14:ky="0" w14:algn="none">
            <w14:srgbClr w14:val="000000"/>
          </w14:shadow>
        </w:rPr>
        <w:t>1</w:t>
      </w:r>
      <w:r w:rsidRPr="00815514">
        <w:rPr>
          <w:rFonts w:ascii="Mulish" w:hAnsi="Mulish"/>
          <w:b/>
          <w:sz w:val="22"/>
          <w:szCs w:val="22"/>
          <w14:shadow w14:blurRad="0" w14:dist="0" w14:dir="0" w14:sx="0" w14:sy="0" w14:kx="0" w14:ky="0" w14:algn="none">
            <w14:srgbClr w14:val="000000"/>
          </w14:shadow>
        </w:rPr>
        <w:t>.</w:t>
      </w:r>
    </w:p>
    <w:p w14:paraId="24919B78" w14:textId="01061E11" w:rsidR="00815514" w:rsidRDefault="00815514" w:rsidP="00F7529A">
      <w:pPr>
        <w:pStyle w:val="Zkladntext"/>
        <w:tabs>
          <w:tab w:val="left" w:pos="5103"/>
        </w:tabs>
        <w:spacing w:before="120" w:line="276" w:lineRule="auto"/>
        <w:ind w:left="284"/>
        <w:jc w:val="both"/>
        <w:rPr>
          <w:rFonts w:ascii="Mulish" w:hAnsi="Mulish"/>
          <w:b/>
          <w:color w:val="FF0000"/>
          <w:sz w:val="22"/>
          <w:szCs w:val="22"/>
          <w14:shadow w14:blurRad="0" w14:dist="0" w14:dir="0" w14:sx="0" w14:sy="0" w14:kx="0" w14:ky="0" w14:algn="none">
            <w14:srgbClr w14:val="000000"/>
          </w14:shadow>
        </w:rPr>
      </w:pPr>
    </w:p>
    <w:p w14:paraId="0C9D0B5D" w14:textId="77777777" w:rsidR="00830024" w:rsidRPr="00D66167" w:rsidRDefault="00830024" w:rsidP="00830024">
      <w:pPr>
        <w:pStyle w:val="Zkladntext"/>
        <w:tabs>
          <w:tab w:val="left" w:pos="5103"/>
        </w:tabs>
        <w:spacing w:before="120" w:line="240" w:lineRule="atLeast"/>
        <w:jc w:val="both"/>
        <w:rPr>
          <w:rFonts w:ascii="Mulish" w:hAnsi="Mulish"/>
          <w:b/>
          <w:color w:val="FF0000"/>
          <w:sz w:val="22"/>
          <w:szCs w:val="22"/>
        </w:rPr>
      </w:pPr>
    </w:p>
    <w:p w14:paraId="76290D16" w14:textId="4F78B42C" w:rsidR="00830024" w:rsidRPr="00815514" w:rsidRDefault="00830024" w:rsidP="00815514">
      <w:pPr>
        <w:pStyle w:val="Nadpis2"/>
        <w:keepLines w:val="0"/>
        <w:numPr>
          <w:ilvl w:val="0"/>
          <w:numId w:val="13"/>
        </w:numPr>
        <w:autoSpaceDE/>
        <w:autoSpaceDN/>
        <w:adjustRightInd/>
        <w:spacing w:before="0" w:line="240" w:lineRule="auto"/>
        <w:textAlignment w:val="auto"/>
        <w:rPr>
          <w:sz w:val="28"/>
          <w:szCs w:val="28"/>
        </w:rPr>
      </w:pPr>
      <w:r w:rsidRPr="00815514">
        <w:rPr>
          <w:sz w:val="28"/>
          <w:szCs w:val="28"/>
        </w:rPr>
        <w:t xml:space="preserve">Plnění </w:t>
      </w:r>
      <w:r w:rsidR="00F7529A" w:rsidRPr="00815514">
        <w:rPr>
          <w:sz w:val="28"/>
          <w:szCs w:val="28"/>
        </w:rPr>
        <w:t>doporučených hodnot (AQG)</w:t>
      </w:r>
      <w:r w:rsidRPr="00815514">
        <w:rPr>
          <w:sz w:val="28"/>
          <w:szCs w:val="28"/>
        </w:rPr>
        <w:t xml:space="preserve"> WHO</w:t>
      </w:r>
    </w:p>
    <w:p w14:paraId="20AF3CD9" w14:textId="77777777" w:rsidR="00830024" w:rsidRPr="00084714" w:rsidRDefault="00830024" w:rsidP="00815514">
      <w:pPr>
        <w:spacing w:before="120" w:line="276" w:lineRule="auto"/>
        <w:jc w:val="both"/>
        <w:rPr>
          <w:color w:val="auto"/>
          <w:sz w:val="22"/>
          <w:szCs w:val="22"/>
        </w:rPr>
      </w:pPr>
      <w:r w:rsidRPr="00084714">
        <w:rPr>
          <w:color w:val="auto"/>
          <w:sz w:val="22"/>
          <w:szCs w:val="22"/>
        </w:rPr>
        <w:t xml:space="preserve">Z naměřených hodnot hmotnostních koncentrací sledovaných a hodnotitelných škodlivin vyplývá, pro: </w:t>
      </w:r>
    </w:p>
    <w:p w14:paraId="7DBE129E" w14:textId="77777777" w:rsidR="00830024" w:rsidRPr="00084714" w:rsidRDefault="00830024" w:rsidP="00F7529A">
      <w:pPr>
        <w:pStyle w:val="Odstavecseseznamem"/>
        <w:numPr>
          <w:ilvl w:val="0"/>
          <w:numId w:val="30"/>
        </w:numPr>
        <w:spacing w:line="276" w:lineRule="auto"/>
        <w:ind w:left="284" w:hanging="284"/>
        <w:jc w:val="both"/>
        <w:rPr>
          <w:rFonts w:ascii="Mulish" w:hAnsi="Mulish"/>
          <w:b/>
          <w:sz w:val="22"/>
          <w:szCs w:val="22"/>
          <w14:shadow w14:blurRad="0" w14:dist="0" w14:dir="0" w14:sx="0" w14:sy="0" w14:kx="0" w14:ky="0" w14:algn="none">
            <w14:srgbClr w14:val="000000"/>
          </w14:shadow>
        </w:rPr>
      </w:pPr>
      <w:r w:rsidRPr="00084714">
        <w:rPr>
          <w:rFonts w:ascii="Mulish" w:hAnsi="Mulish"/>
          <w:b/>
          <w:sz w:val="22"/>
          <w:szCs w:val="22"/>
          <w14:shadow w14:blurRad="0" w14:dist="0" w14:dir="0" w14:sx="0" w14:sy="0" w14:kx="0" w14:ky="0" w14:algn="none">
            <w14:srgbClr w14:val="000000"/>
          </w14:shadow>
        </w:rPr>
        <w:t>oxid siřičitý - SO</w:t>
      </w:r>
      <w:r w:rsidRPr="00084714">
        <w:rPr>
          <w:rFonts w:ascii="Mulish" w:hAnsi="Mulish"/>
          <w:b/>
          <w:sz w:val="22"/>
          <w:szCs w:val="22"/>
          <w:vertAlign w:val="subscript"/>
          <w14:shadow w14:blurRad="0" w14:dist="0" w14:dir="0" w14:sx="0" w14:sy="0" w14:kx="0" w14:ky="0" w14:algn="none">
            <w14:srgbClr w14:val="000000"/>
          </w14:shadow>
        </w:rPr>
        <w:t>2</w:t>
      </w:r>
      <w:r w:rsidRPr="00084714">
        <w:rPr>
          <w:rFonts w:ascii="Mulish" w:hAnsi="Mulish"/>
          <w:b/>
          <w:sz w:val="22"/>
          <w:szCs w:val="22"/>
          <w14:shadow w14:blurRad="0" w14:dist="0" w14:dir="0" w14:sx="0" w14:sy="0" w14:kx="0" w14:ky="0" w14:algn="none">
            <w14:srgbClr w14:val="000000"/>
          </w14:shadow>
        </w:rPr>
        <w:t xml:space="preserve"> </w:t>
      </w:r>
    </w:p>
    <w:p w14:paraId="7FDD23AB" w14:textId="33426FBF" w:rsidR="00830024" w:rsidRPr="00084714" w:rsidRDefault="00830024" w:rsidP="00F7529A">
      <w:pPr>
        <w:pStyle w:val="Odstavecseseznamem"/>
        <w:numPr>
          <w:ilvl w:val="1"/>
          <w:numId w:val="30"/>
        </w:numPr>
        <w:spacing w:line="276" w:lineRule="auto"/>
        <w:ind w:left="709" w:hanging="425"/>
        <w:jc w:val="both"/>
        <w:rPr>
          <w:rFonts w:ascii="Mulish" w:hAnsi="Mulish"/>
          <w:sz w:val="22"/>
          <w:szCs w:val="22"/>
          <w14:shadow w14:blurRad="0" w14:dist="0" w14:dir="0" w14:sx="0" w14:sy="0" w14:kx="0" w14:ky="0" w14:algn="none">
            <w14:srgbClr w14:val="000000"/>
          </w14:shadow>
        </w:rPr>
      </w:pPr>
      <w:r w:rsidRPr="00084714">
        <w:rPr>
          <w:rFonts w:ascii="Mulish" w:hAnsi="Mulish"/>
          <w:sz w:val="22"/>
          <w:szCs w:val="22"/>
          <w14:shadow w14:blurRad="0" w14:dist="0" w14:dir="0" w14:sx="0" w14:sy="0" w14:kx="0" w14:ky="0" w14:algn="none">
            <w14:srgbClr w14:val="000000"/>
          </w14:shadow>
        </w:rPr>
        <w:t>denní cílová hodnota AQG WHO 40 µg/m</w:t>
      </w:r>
      <w:r w:rsidRPr="00084714">
        <w:rPr>
          <w:rFonts w:ascii="Mulish" w:hAnsi="Mulish"/>
          <w:sz w:val="22"/>
          <w:szCs w:val="22"/>
          <w:vertAlign w:val="superscript"/>
          <w14:shadow w14:blurRad="0" w14:dist="0" w14:dir="0" w14:sx="0" w14:sy="0" w14:kx="0" w14:ky="0" w14:algn="none">
            <w14:srgbClr w14:val="000000"/>
          </w14:shadow>
        </w:rPr>
        <w:t>3</w:t>
      </w:r>
      <w:r w:rsidRPr="00084714">
        <w:rPr>
          <w:rFonts w:ascii="Mulish" w:hAnsi="Mulish"/>
          <w:sz w:val="22"/>
          <w:szCs w:val="22"/>
          <w14:shadow w14:blurRad="0" w14:dist="0" w14:dir="0" w14:sx="0" w14:sy="0" w14:kx="0" w14:ky="0" w14:algn="none">
            <w14:srgbClr w14:val="000000"/>
          </w14:shadow>
        </w:rPr>
        <w:t>/24 hodin byla v roce 202</w:t>
      </w:r>
      <w:r w:rsidR="00084714" w:rsidRPr="00084714">
        <w:rPr>
          <w:rFonts w:ascii="Mulish" w:hAnsi="Mulish"/>
          <w:sz w:val="22"/>
          <w:szCs w:val="22"/>
          <w14:shadow w14:blurRad="0" w14:dist="0" w14:dir="0" w14:sx="0" w14:sy="0" w14:kx="0" w14:ky="0" w14:algn="none">
            <w14:srgbClr w14:val="000000"/>
          </w14:shadow>
        </w:rPr>
        <w:t>2</w:t>
      </w:r>
      <w:r w:rsidRPr="00084714">
        <w:rPr>
          <w:rFonts w:ascii="Mulish" w:hAnsi="Mulish"/>
          <w:sz w:val="22"/>
          <w:szCs w:val="22"/>
          <w14:shadow w14:blurRad="0" w14:dist="0" w14:dir="0" w14:sx="0" w14:sy="0" w14:kx="0" w14:ky="0" w14:algn="none">
            <w14:srgbClr w14:val="000000"/>
          </w14:shadow>
        </w:rPr>
        <w:t xml:space="preserve"> </w:t>
      </w:r>
      <w:r w:rsidR="00084714" w:rsidRPr="00084714">
        <w:rPr>
          <w:rFonts w:ascii="Mulish" w:hAnsi="Mulish"/>
          <w:sz w:val="22"/>
          <w:szCs w:val="22"/>
          <w14:shadow w14:blurRad="0" w14:dist="0" w14:dir="0" w14:sx="0" w14:sy="0" w14:kx="0" w14:ky="0" w14:algn="none">
            <w14:srgbClr w14:val="000000"/>
          </w14:shadow>
        </w:rPr>
        <w:t>7</w:t>
      </w:r>
      <w:r w:rsidRPr="00084714">
        <w:rPr>
          <w:rFonts w:ascii="Mulish" w:hAnsi="Mulish"/>
          <w:sz w:val="22"/>
          <w:szCs w:val="22"/>
          <w14:shadow w14:blurRad="0" w14:dist="0" w14:dir="0" w14:sx="0" w14:sy="0" w14:kx="0" w14:ky="0" w14:algn="none">
            <w14:srgbClr w14:val="000000"/>
          </w14:shadow>
        </w:rPr>
        <w:t xml:space="preserve">x překročena, a to na čtyřech stanicích (Lom u Mostu, </w:t>
      </w:r>
      <w:r w:rsidR="00084714" w:rsidRPr="00084714">
        <w:rPr>
          <w:rFonts w:ascii="Mulish" w:hAnsi="Mulish"/>
          <w:sz w:val="22"/>
          <w:szCs w:val="22"/>
          <w14:shadow w14:blurRad="0" w14:dist="0" w14:dir="0" w14:sx="0" w14:sy="0" w14:kx="0" w14:ky="0" w14:algn="none">
            <w14:srgbClr w14:val="000000"/>
          </w14:shadow>
        </w:rPr>
        <w:t>Sokolov,</w:t>
      </w:r>
      <w:r w:rsidRPr="00084714">
        <w:rPr>
          <w:rFonts w:ascii="Mulish" w:hAnsi="Mulish"/>
          <w:sz w:val="22"/>
          <w:szCs w:val="22"/>
          <w14:shadow w14:blurRad="0" w14:dist="0" w14:dir="0" w14:sx="0" w14:sy="0" w14:kx="0" w14:ky="0" w14:algn="none">
            <w14:srgbClr w14:val="000000"/>
          </w14:shadow>
        </w:rPr>
        <w:t xml:space="preserve"> </w:t>
      </w:r>
      <w:r w:rsidR="00084714" w:rsidRPr="00084714">
        <w:rPr>
          <w:rFonts w:ascii="Mulish" w:hAnsi="Mulish"/>
          <w:sz w:val="22"/>
          <w:szCs w:val="22"/>
          <w14:shadow w14:blurRad="0" w14:dist="0" w14:dir="0" w14:sx="0" w14:sy="0" w14:kx="0" w14:ky="0" w14:algn="none">
            <w14:srgbClr w14:val="000000"/>
          </w14:shadow>
        </w:rPr>
        <w:t>Teplice</w:t>
      </w:r>
      <w:r w:rsidRPr="00084714">
        <w:rPr>
          <w:rFonts w:ascii="Mulish" w:hAnsi="Mulish"/>
          <w:sz w:val="22"/>
          <w:szCs w:val="22"/>
          <w14:shadow w14:blurRad="0" w14:dist="0" w14:dir="0" w14:sx="0" w14:sy="0" w14:kx="0" w14:ky="0" w14:algn="none">
            <w14:srgbClr w14:val="000000"/>
          </w14:shadow>
        </w:rPr>
        <w:t>).</w:t>
      </w:r>
    </w:p>
    <w:p w14:paraId="61AE4317" w14:textId="77777777" w:rsidR="00830024" w:rsidRPr="00224B05" w:rsidRDefault="00830024" w:rsidP="00F7529A">
      <w:pPr>
        <w:pStyle w:val="Odstavecseseznamem"/>
        <w:numPr>
          <w:ilvl w:val="0"/>
          <w:numId w:val="30"/>
        </w:numPr>
        <w:spacing w:line="276" w:lineRule="auto"/>
        <w:ind w:left="284" w:hanging="284"/>
        <w:jc w:val="both"/>
        <w:rPr>
          <w:rFonts w:ascii="Mulish" w:hAnsi="Mulish"/>
          <w:b/>
          <w:sz w:val="22"/>
          <w:szCs w:val="22"/>
          <w14:shadow w14:blurRad="0" w14:dist="0" w14:dir="0" w14:sx="0" w14:sy="0" w14:kx="0" w14:ky="0" w14:algn="none">
            <w14:srgbClr w14:val="000000"/>
          </w14:shadow>
        </w:rPr>
      </w:pPr>
      <w:r w:rsidRPr="00224B05">
        <w:rPr>
          <w:rFonts w:ascii="Mulish" w:hAnsi="Mulish"/>
          <w:b/>
          <w:sz w:val="22"/>
          <w:szCs w:val="22"/>
          <w14:shadow w14:blurRad="0" w14:dist="0" w14:dir="0" w14:sx="0" w14:sy="0" w14:kx="0" w14:ky="0" w14:algn="none">
            <w14:srgbClr w14:val="000000"/>
          </w14:shadow>
        </w:rPr>
        <w:t>oxid dusičitý - NO</w:t>
      </w:r>
      <w:r w:rsidRPr="00224B05">
        <w:rPr>
          <w:rFonts w:ascii="Mulish" w:hAnsi="Mulish"/>
          <w:b/>
          <w:sz w:val="22"/>
          <w:szCs w:val="22"/>
          <w:vertAlign w:val="subscript"/>
          <w14:shadow w14:blurRad="0" w14:dist="0" w14:dir="0" w14:sx="0" w14:sy="0" w14:kx="0" w14:ky="0" w14:algn="none">
            <w14:srgbClr w14:val="000000"/>
          </w14:shadow>
        </w:rPr>
        <w:t>2</w:t>
      </w:r>
    </w:p>
    <w:p w14:paraId="7550BFD0" w14:textId="77777777" w:rsidR="00830024" w:rsidRPr="00224B05" w:rsidRDefault="00830024" w:rsidP="00F7529A">
      <w:pPr>
        <w:pStyle w:val="Odstavecseseznamem"/>
        <w:numPr>
          <w:ilvl w:val="1"/>
          <w:numId w:val="30"/>
        </w:numPr>
        <w:spacing w:line="276" w:lineRule="auto"/>
        <w:ind w:left="709" w:hanging="425"/>
        <w:jc w:val="both"/>
        <w:rPr>
          <w:rFonts w:ascii="Mulish" w:hAnsi="Mulish"/>
          <w:sz w:val="22"/>
          <w:szCs w:val="22"/>
          <w14:shadow w14:blurRad="0" w14:dist="0" w14:dir="0" w14:sx="0" w14:sy="0" w14:kx="0" w14:ky="0" w14:algn="none">
            <w14:srgbClr w14:val="000000"/>
          </w14:shadow>
        </w:rPr>
      </w:pPr>
      <w:r w:rsidRPr="00224B05">
        <w:rPr>
          <w:rFonts w:ascii="Mulish" w:hAnsi="Mulish"/>
          <w:sz w:val="22"/>
          <w:szCs w:val="22"/>
          <w14:shadow w14:blurRad="0" w14:dist="0" w14:dir="0" w14:sx="0" w14:sy="0" w14:kx="0" w14:ky="0" w14:algn="none">
            <w14:srgbClr w14:val="000000"/>
          </w14:shadow>
        </w:rPr>
        <w:t xml:space="preserve">na žádné ze stanic nebyla v roce 2021 překročena cílová hodnota AQG </w:t>
      </w:r>
      <w:r w:rsidRPr="00224B05">
        <w:rPr>
          <w:rFonts w:ascii="Mulish" w:hAnsi="Mulish"/>
          <w:sz w:val="22"/>
          <w:szCs w:val="22"/>
          <w14:shadow w14:blurRad="0" w14:dist="0" w14:dir="0" w14:sx="0" w14:sy="0" w14:kx="0" w14:ky="0" w14:algn="none">
            <w14:srgbClr w14:val="000000"/>
          </w14:shadow>
        </w:rPr>
        <w:br/>
        <w:t>200 µg/m</w:t>
      </w:r>
      <w:r w:rsidRPr="00224B05">
        <w:rPr>
          <w:rFonts w:ascii="Mulish" w:hAnsi="Mulish"/>
          <w:sz w:val="22"/>
          <w:szCs w:val="22"/>
          <w:vertAlign w:val="superscript"/>
          <w14:shadow w14:blurRad="0" w14:dist="0" w14:dir="0" w14:sx="0" w14:sy="0" w14:kx="0" w14:ky="0" w14:algn="none">
            <w14:srgbClr w14:val="000000"/>
          </w14:shadow>
        </w:rPr>
        <w:t>3</w:t>
      </w:r>
      <w:r w:rsidRPr="00224B05">
        <w:rPr>
          <w:rFonts w:ascii="Mulish" w:hAnsi="Mulish"/>
          <w:sz w:val="22"/>
          <w:szCs w:val="22"/>
          <w14:shadow w14:blurRad="0" w14:dist="0" w14:dir="0" w14:sx="0" w14:sy="0" w14:kx="0" w14:ky="0" w14:algn="none">
            <w14:srgbClr w14:val="000000"/>
          </w14:shadow>
        </w:rPr>
        <w:t>/hod.;</w:t>
      </w:r>
    </w:p>
    <w:p w14:paraId="35DB956F" w14:textId="77777777" w:rsidR="00830024" w:rsidRPr="00224B05" w:rsidRDefault="00830024" w:rsidP="00F7529A">
      <w:pPr>
        <w:pStyle w:val="Odstavecseseznamem"/>
        <w:numPr>
          <w:ilvl w:val="1"/>
          <w:numId w:val="30"/>
        </w:numPr>
        <w:spacing w:line="276" w:lineRule="auto"/>
        <w:ind w:left="709" w:hanging="425"/>
        <w:jc w:val="both"/>
        <w:rPr>
          <w:rFonts w:ascii="Mulish" w:hAnsi="Mulish"/>
          <w:sz w:val="22"/>
          <w:szCs w:val="22"/>
          <w14:shadow w14:blurRad="0" w14:dist="0" w14:dir="0" w14:sx="0" w14:sy="0" w14:kx="0" w14:ky="0" w14:algn="none">
            <w14:srgbClr w14:val="000000"/>
          </w14:shadow>
        </w:rPr>
      </w:pPr>
      <w:r w:rsidRPr="00224B05">
        <w:rPr>
          <w:rFonts w:ascii="Mulish" w:hAnsi="Mulish"/>
          <w:sz w:val="22"/>
          <w:szCs w:val="22"/>
          <w14:shadow w14:blurRad="0" w14:dist="0" w14:dir="0" w14:sx="0" w14:sy="0" w14:kx="0" w14:ky="0" w14:algn="none">
            <w14:srgbClr w14:val="000000"/>
          </w14:shadow>
        </w:rPr>
        <w:t xml:space="preserve">denní </w:t>
      </w:r>
      <w:r w:rsidRPr="00224B05">
        <w:rPr>
          <w:rFonts w:ascii="Mulish" w:hAnsi="Mulish"/>
          <w:noProof w:val="0"/>
          <w:snapToGrid w:val="0"/>
          <w:sz w:val="22"/>
          <w:szCs w:val="22"/>
          <w14:shadow w14:blurRad="0" w14:dist="0" w14:dir="0" w14:sx="0" w14:sy="0" w14:kx="0" w14:ky="0" w14:algn="none">
            <w14:srgbClr w14:val="000000"/>
          </w14:shadow>
        </w:rPr>
        <w:t>cílová hodnota AQG - 25 µg/m</w:t>
      </w:r>
      <w:r w:rsidRPr="00224B05">
        <w:rPr>
          <w:rFonts w:ascii="Mulish" w:hAnsi="Mulish"/>
          <w:noProof w:val="0"/>
          <w:snapToGrid w:val="0"/>
          <w:sz w:val="22"/>
          <w:szCs w:val="22"/>
          <w:vertAlign w:val="superscript"/>
          <w14:shadow w14:blurRad="0" w14:dist="0" w14:dir="0" w14:sx="0" w14:sy="0" w14:kx="0" w14:ky="0" w14:algn="none">
            <w14:srgbClr w14:val="000000"/>
          </w14:shadow>
        </w:rPr>
        <w:t>3</w:t>
      </w:r>
      <w:r w:rsidRPr="00224B05">
        <w:rPr>
          <w:rFonts w:ascii="Mulish" w:hAnsi="Mulish"/>
          <w:noProof w:val="0"/>
          <w:snapToGrid w:val="0"/>
          <w:sz w:val="22"/>
          <w:szCs w:val="22"/>
          <w14:shadow w14:blurRad="0" w14:dist="0" w14:dir="0" w14:sx="0" w14:sy="0" w14:kx="0" w14:ky="0" w14:algn="none">
            <w14:srgbClr w14:val="000000"/>
          </w14:shadow>
        </w:rPr>
        <w:t xml:space="preserve"> byla alespoň jednou překročena na 62 (97 %) z 64 městských stanic.</w:t>
      </w:r>
      <w:r w:rsidRPr="00224B05">
        <w:rPr>
          <w:rFonts w:ascii="Mulish" w:hAnsi="Mulish"/>
          <w:sz w:val="22"/>
          <w:szCs w:val="22"/>
          <w14:shadow w14:blurRad="0" w14:dist="0" w14:dir="0" w14:sx="0" w14:sy="0" w14:kx="0" w14:ky="0" w14:algn="none">
            <w14:srgbClr w14:val="000000"/>
          </w14:shadow>
        </w:rPr>
        <w:t xml:space="preserve"> Nejvyšší počet překročení denní cílové hodnoty byl naměřen na stanici Brno – město – 303 (85 %);</w:t>
      </w:r>
    </w:p>
    <w:p w14:paraId="44009B5D" w14:textId="77777777" w:rsidR="00830024" w:rsidRPr="00224B05" w:rsidRDefault="00830024" w:rsidP="00F7529A">
      <w:pPr>
        <w:pStyle w:val="Odstavecseseznamem"/>
        <w:numPr>
          <w:ilvl w:val="1"/>
          <w:numId w:val="30"/>
        </w:numPr>
        <w:spacing w:line="276" w:lineRule="auto"/>
        <w:ind w:left="709" w:hanging="425"/>
        <w:jc w:val="both"/>
        <w:rPr>
          <w:rFonts w:ascii="Mulish" w:hAnsi="Mulish"/>
          <w:sz w:val="22"/>
          <w:szCs w:val="22"/>
          <w14:shadow w14:blurRad="0" w14:dist="0" w14:dir="0" w14:sx="0" w14:sy="0" w14:kx="0" w14:ky="0" w14:algn="none">
            <w14:srgbClr w14:val="000000"/>
          </w14:shadow>
        </w:rPr>
      </w:pPr>
      <w:r w:rsidRPr="00224B05">
        <w:rPr>
          <w:rFonts w:ascii="Mulish" w:hAnsi="Mulish"/>
          <w:sz w:val="22"/>
          <w:szCs w:val="22"/>
          <w14:shadow w14:blurRad="0" w14:dist="0" w14:dir="0" w14:sx="0" w14:sy="0" w14:kx="0" w14:ky="0" w14:algn="none">
            <w14:srgbClr w14:val="000000"/>
          </w14:shadow>
        </w:rPr>
        <w:t>roční cílová hodnota AQG – 10 µg/m</w:t>
      </w:r>
      <w:r w:rsidRPr="00224B05">
        <w:rPr>
          <w:rFonts w:ascii="Mulish" w:hAnsi="Mulish"/>
          <w:sz w:val="22"/>
          <w:szCs w:val="22"/>
          <w:vertAlign w:val="superscript"/>
          <w14:shadow w14:blurRad="0" w14:dist="0" w14:dir="0" w14:sx="0" w14:sy="0" w14:kx="0" w14:ky="0" w14:algn="none">
            <w14:srgbClr w14:val="000000"/>
          </w14:shadow>
        </w:rPr>
        <w:t>3</w:t>
      </w:r>
      <w:r w:rsidRPr="00224B05">
        <w:rPr>
          <w:rFonts w:ascii="Mulish" w:hAnsi="Mulish"/>
          <w:sz w:val="22"/>
          <w:szCs w:val="22"/>
          <w14:shadow w14:blurRad="0" w14:dist="0" w14:dir="0" w14:sx="0" w14:sy="0" w14:kx="0" w14:ky="0" w14:algn="none">
            <w14:srgbClr w14:val="000000"/>
          </w14:shadow>
        </w:rPr>
        <w:t xml:space="preserve"> byla v roce 2021 překročena na 58 z 64 městských stanic (</w:t>
      </w:r>
      <w:r w:rsidRPr="00224B05">
        <w:rPr>
          <w:rFonts w:ascii="Mulish" w:hAnsi="Mulish"/>
          <w:noProof w:val="0"/>
          <w:snapToGrid w:val="0"/>
          <w:sz w:val="22"/>
          <w:szCs w:val="22"/>
          <w14:shadow w14:blurRad="0" w14:dist="0" w14:dir="0" w14:sx="0" w14:sy="0" w14:kx="0" w14:ky="0" w14:algn="none">
            <w14:srgbClr w14:val="000000"/>
          </w14:shadow>
        </w:rPr>
        <w:sym w:font="Symbol" w:char="F0BB"/>
      </w:r>
      <w:r w:rsidRPr="00224B05">
        <w:rPr>
          <w:rFonts w:ascii="Mulish" w:hAnsi="Mulish"/>
          <w:sz w:val="22"/>
          <w:szCs w:val="22"/>
          <w14:shadow w14:blurRad="0" w14:dist="0" w14:dir="0" w14:sx="0" w14:sy="0" w14:kx="0" w14:ky="0" w14:algn="none">
            <w14:srgbClr w14:val="000000"/>
          </w14:shadow>
        </w:rPr>
        <w:t xml:space="preserve"> 90 %).</w:t>
      </w:r>
    </w:p>
    <w:p w14:paraId="66552908" w14:textId="77777777" w:rsidR="00830024" w:rsidRPr="00224B05" w:rsidRDefault="00830024" w:rsidP="00F7529A">
      <w:pPr>
        <w:pStyle w:val="Odstavecseseznamem"/>
        <w:numPr>
          <w:ilvl w:val="0"/>
          <w:numId w:val="30"/>
        </w:numPr>
        <w:spacing w:line="276" w:lineRule="auto"/>
        <w:ind w:left="284" w:hanging="284"/>
        <w:jc w:val="both"/>
        <w:rPr>
          <w:rFonts w:ascii="Mulish" w:hAnsi="Mulish"/>
          <w:b/>
          <w:sz w:val="22"/>
          <w:szCs w:val="22"/>
          <w14:shadow w14:blurRad="0" w14:dist="0" w14:dir="0" w14:sx="0" w14:sy="0" w14:kx="0" w14:ky="0" w14:algn="none">
            <w14:srgbClr w14:val="000000"/>
          </w14:shadow>
        </w:rPr>
      </w:pPr>
      <w:r w:rsidRPr="00224B05">
        <w:rPr>
          <w:rFonts w:ascii="Mulish" w:hAnsi="Mulish"/>
          <w:b/>
          <w:sz w:val="22"/>
          <w:szCs w:val="22"/>
          <w14:shadow w14:blurRad="0" w14:dist="0" w14:dir="0" w14:sx="0" w14:sy="0" w14:kx="0" w14:ky="0" w14:algn="none">
            <w14:srgbClr w14:val="000000"/>
          </w14:shadow>
        </w:rPr>
        <w:t>ozón - O</w:t>
      </w:r>
      <w:r w:rsidRPr="00224B05">
        <w:rPr>
          <w:rFonts w:ascii="Mulish" w:hAnsi="Mulish"/>
          <w:b/>
          <w:sz w:val="22"/>
          <w:szCs w:val="22"/>
          <w:vertAlign w:val="subscript"/>
          <w14:shadow w14:blurRad="0" w14:dist="0" w14:dir="0" w14:sx="0" w14:sy="0" w14:kx="0" w14:ky="0" w14:algn="none">
            <w14:srgbClr w14:val="000000"/>
          </w14:shadow>
        </w:rPr>
        <w:t>3</w:t>
      </w:r>
    </w:p>
    <w:p w14:paraId="6C140779" w14:textId="6F77D19D" w:rsidR="00830024" w:rsidRPr="00224B05" w:rsidRDefault="00224B05" w:rsidP="00F7529A">
      <w:pPr>
        <w:pStyle w:val="Odstavecseseznamem"/>
        <w:numPr>
          <w:ilvl w:val="1"/>
          <w:numId w:val="30"/>
        </w:numPr>
        <w:spacing w:line="276" w:lineRule="auto"/>
        <w:ind w:left="709" w:hanging="425"/>
        <w:jc w:val="both"/>
        <w:rPr>
          <w:rFonts w:ascii="Mulish" w:hAnsi="Mulish"/>
          <w:sz w:val="22"/>
          <w:szCs w:val="22"/>
          <w14:shadow w14:blurRad="0" w14:dist="0" w14:dir="0" w14:sx="0" w14:sy="0" w14:kx="0" w14:ky="0" w14:algn="none">
            <w14:srgbClr w14:val="000000"/>
          </w14:shadow>
        </w:rPr>
      </w:pPr>
      <w:r w:rsidRPr="00224B05">
        <w:rPr>
          <w:rFonts w:ascii="Mulish" w:hAnsi="Mulish"/>
          <w:sz w:val="22"/>
          <w:szCs w:val="22"/>
          <w14:shadow w14:blurRad="0" w14:dist="0" w14:dir="0" w14:sx="0" w14:sy="0" w14:kx="0" w14:ky="0" w14:algn="none">
            <w14:srgbClr w14:val="000000"/>
          </w14:shadow>
        </w:rPr>
        <w:t xml:space="preserve">pouze </w:t>
      </w:r>
      <w:r w:rsidRPr="007157F4">
        <w:rPr>
          <w:rFonts w:ascii="Mulish" w:hAnsi="Mulish"/>
          <w:sz w:val="22"/>
          <w:szCs w:val="22"/>
          <w14:shadow w14:blurRad="0" w14:dist="0" w14:dir="0" w14:sx="0" w14:sy="0" w14:kx="0" w14:ky="0" w14:algn="none">
            <w14:srgbClr w14:val="000000"/>
          </w14:shadow>
        </w:rPr>
        <w:t>na 5 stanicích (</w:t>
      </w:r>
      <w:r w:rsidR="007157F4" w:rsidRPr="007157F4">
        <w:rPr>
          <w:rFonts w:ascii="Mulish" w:hAnsi="Mulish"/>
          <w:sz w:val="22"/>
          <w:szCs w:val="22"/>
          <w14:shadow w14:blurRad="0" w14:dist="0" w14:dir="0" w14:sx="0" w14:sy="0" w14:kx="0" w14:ky="0" w14:algn="none">
            <w14:srgbClr w14:val="000000"/>
          </w14:shadow>
        </w:rPr>
        <w:t>z 55)</w:t>
      </w:r>
      <w:r w:rsidRPr="007157F4">
        <w:rPr>
          <w:rFonts w:ascii="Mulish" w:hAnsi="Mulish"/>
          <w:sz w:val="22"/>
          <w:szCs w:val="22"/>
          <w14:shadow w14:blurRad="0" w14:dist="0" w14:dir="0" w14:sx="0" w14:sy="0" w14:kx="0" w14:ky="0" w14:algn="none">
            <w14:srgbClr w14:val="000000"/>
          </w14:shadow>
        </w:rPr>
        <w:t xml:space="preserve"> ne</w:t>
      </w:r>
      <w:r w:rsidR="00830024" w:rsidRPr="007157F4">
        <w:rPr>
          <w:rFonts w:ascii="Mulish" w:hAnsi="Mulish"/>
          <w:sz w:val="22"/>
          <w:szCs w:val="22"/>
          <w14:shadow w14:blurRad="0" w14:dist="0" w14:dir="0" w14:sx="0" w14:sy="0" w14:kx="0" w14:ky="0" w14:algn="none">
            <w14:srgbClr w14:val="000000"/>
          </w14:shadow>
        </w:rPr>
        <w:t>byla v r</w:t>
      </w:r>
      <w:r w:rsidR="00830024" w:rsidRPr="00224B05">
        <w:rPr>
          <w:rFonts w:ascii="Mulish" w:hAnsi="Mulish"/>
          <w:sz w:val="22"/>
          <w:szCs w:val="22"/>
          <w14:shadow w14:blurRad="0" w14:dist="0" w14:dir="0" w14:sx="0" w14:sy="0" w14:kx="0" w14:ky="0" w14:algn="none">
            <w14:srgbClr w14:val="000000"/>
          </w14:shadow>
        </w:rPr>
        <w:t>oce 202</w:t>
      </w:r>
      <w:r w:rsidR="00084714" w:rsidRPr="00224B05">
        <w:rPr>
          <w:rFonts w:ascii="Mulish" w:hAnsi="Mulish"/>
          <w:sz w:val="22"/>
          <w:szCs w:val="22"/>
          <w14:shadow w14:blurRad="0" w14:dist="0" w14:dir="0" w14:sx="0" w14:sy="0" w14:kx="0" w14:ky="0" w14:algn="none">
            <w14:srgbClr w14:val="000000"/>
          </w14:shadow>
        </w:rPr>
        <w:t>2</w:t>
      </w:r>
      <w:r w:rsidR="00830024" w:rsidRPr="00224B05">
        <w:rPr>
          <w:rFonts w:ascii="Mulish" w:hAnsi="Mulish"/>
          <w:sz w:val="22"/>
          <w:szCs w:val="22"/>
          <w14:shadow w14:blurRad="0" w14:dist="0" w14:dir="0" w14:sx="0" w14:sy="0" w14:kx="0" w14:ky="0" w14:algn="none">
            <w14:srgbClr w14:val="000000"/>
          </w14:shadow>
        </w:rPr>
        <w:t xml:space="preserve"> alespoň jednou překročena hodnota 100 µg/m</w:t>
      </w:r>
      <w:r w:rsidR="00830024" w:rsidRPr="00224B05">
        <w:rPr>
          <w:rFonts w:ascii="Mulish" w:hAnsi="Mulish"/>
          <w:sz w:val="22"/>
          <w:szCs w:val="22"/>
          <w:vertAlign w:val="superscript"/>
          <w14:shadow w14:blurRad="0" w14:dist="0" w14:dir="0" w14:sx="0" w14:sy="0" w14:kx="0" w14:ky="0" w14:algn="none">
            <w14:srgbClr w14:val="000000"/>
          </w14:shadow>
        </w:rPr>
        <w:t>3</w:t>
      </w:r>
      <w:r w:rsidR="00830024" w:rsidRPr="00224B05">
        <w:rPr>
          <w:rFonts w:ascii="Mulish" w:hAnsi="Mulish"/>
          <w:sz w:val="22"/>
          <w:szCs w:val="22"/>
          <w14:shadow w14:blurRad="0" w14:dist="0" w14:dir="0" w14:sx="0" w14:sy="0" w14:kx="0" w14:ky="0" w14:algn="none">
            <w14:srgbClr w14:val="000000"/>
          </w14:shadow>
        </w:rPr>
        <w:t xml:space="preserve"> u denního 8hodinového klouzavého průměru. Nejvyšší hodnota byla naměřena na stanici Sněžník - 1</w:t>
      </w:r>
      <w:r w:rsidRPr="00224B05">
        <w:rPr>
          <w:rFonts w:ascii="Mulish" w:hAnsi="Mulish"/>
          <w:sz w:val="22"/>
          <w:szCs w:val="22"/>
          <w14:shadow w14:blurRad="0" w14:dist="0" w14:dir="0" w14:sx="0" w14:sy="0" w14:kx="0" w14:ky="0" w14:algn="none">
            <w14:srgbClr w14:val="000000"/>
          </w14:shadow>
        </w:rPr>
        <w:t>63</w:t>
      </w:r>
      <w:r w:rsidR="00830024" w:rsidRPr="00224B05">
        <w:rPr>
          <w:rFonts w:ascii="Mulish" w:hAnsi="Mulish"/>
          <w:sz w:val="22"/>
          <w:szCs w:val="22"/>
          <w14:shadow w14:blurRad="0" w14:dist="0" w14:dir="0" w14:sx="0" w14:sy="0" w14:kx="0" w14:ky="0" w14:algn="none">
            <w14:srgbClr w14:val="000000"/>
          </w14:shadow>
        </w:rPr>
        <w:t xml:space="preserve"> µg/m</w:t>
      </w:r>
      <w:r w:rsidR="00830024" w:rsidRPr="00224B05">
        <w:rPr>
          <w:rFonts w:ascii="Mulish" w:hAnsi="Mulish"/>
          <w:sz w:val="22"/>
          <w:szCs w:val="22"/>
          <w:vertAlign w:val="superscript"/>
          <w14:shadow w14:blurRad="0" w14:dist="0" w14:dir="0" w14:sx="0" w14:sy="0" w14:kx="0" w14:ky="0" w14:algn="none">
            <w14:srgbClr w14:val="000000"/>
          </w14:shadow>
        </w:rPr>
        <w:t>3</w:t>
      </w:r>
      <w:r w:rsidR="00830024" w:rsidRPr="00224B05">
        <w:rPr>
          <w:rFonts w:ascii="Mulish" w:hAnsi="Mulish"/>
          <w:sz w:val="22"/>
          <w:szCs w:val="22"/>
          <w14:shadow w14:blurRad="0" w14:dist="0" w14:dir="0" w14:sx="0" w14:sy="0" w14:kx="0" w14:ky="0" w14:algn="none">
            <w14:srgbClr w14:val="000000"/>
          </w14:shadow>
        </w:rPr>
        <w:t>/8hod.,</w:t>
      </w:r>
    </w:p>
    <w:p w14:paraId="576F988E" w14:textId="77777777" w:rsidR="00830024" w:rsidRPr="00224B05" w:rsidRDefault="00830024" w:rsidP="00F7529A">
      <w:pPr>
        <w:pStyle w:val="Odstavecseseznamem"/>
        <w:numPr>
          <w:ilvl w:val="1"/>
          <w:numId w:val="30"/>
        </w:numPr>
        <w:spacing w:line="276" w:lineRule="auto"/>
        <w:ind w:left="709" w:hanging="425"/>
        <w:jc w:val="both"/>
        <w:rPr>
          <w:rFonts w:ascii="Mulish" w:hAnsi="Mulish"/>
          <w:sz w:val="22"/>
          <w:szCs w:val="22"/>
          <w14:shadow w14:blurRad="0" w14:dist="0" w14:dir="0" w14:sx="0" w14:sy="0" w14:kx="0" w14:ky="0" w14:algn="none">
            <w14:srgbClr w14:val="000000"/>
          </w14:shadow>
        </w:rPr>
      </w:pPr>
      <w:r w:rsidRPr="00224B05">
        <w:rPr>
          <w:rFonts w:ascii="Mulish" w:hAnsi="Mulish"/>
          <w:sz w:val="22"/>
          <w:szCs w:val="22"/>
          <w14:shadow w14:blurRad="0" w14:dist="0" w14:dir="0" w14:sx="0" w14:sy="0" w14:kx="0" w14:ky="0" w14:algn="none">
            <w14:srgbClr w14:val="000000"/>
          </w14:shadow>
        </w:rPr>
        <w:lastRenderedPageBreak/>
        <w:t>hodnocení kritéria „hlavní sezóna“ neumožňuje aktuální zpracování dat ČHMÚ.</w:t>
      </w:r>
    </w:p>
    <w:p w14:paraId="6F3C5321" w14:textId="77777777" w:rsidR="00830024" w:rsidRPr="00084714" w:rsidRDefault="00830024" w:rsidP="00F7529A">
      <w:pPr>
        <w:pStyle w:val="Odstavecseseznamem"/>
        <w:numPr>
          <w:ilvl w:val="0"/>
          <w:numId w:val="30"/>
        </w:numPr>
        <w:spacing w:line="276" w:lineRule="auto"/>
        <w:ind w:left="284" w:hanging="284"/>
        <w:jc w:val="both"/>
        <w:rPr>
          <w:rFonts w:ascii="Mulish" w:hAnsi="Mulish"/>
          <w:b/>
          <w:sz w:val="22"/>
          <w:szCs w:val="22"/>
          <w14:shadow w14:blurRad="0" w14:dist="0" w14:dir="0" w14:sx="0" w14:sy="0" w14:kx="0" w14:ky="0" w14:algn="none">
            <w14:srgbClr w14:val="000000"/>
          </w14:shadow>
        </w:rPr>
      </w:pPr>
      <w:r w:rsidRPr="00084714">
        <w:rPr>
          <w:rFonts w:ascii="Mulish" w:hAnsi="Mulish"/>
          <w:b/>
          <w:sz w:val="22"/>
          <w:szCs w:val="22"/>
          <w14:shadow w14:blurRad="0" w14:dist="0" w14:dir="0" w14:sx="0" w14:sy="0" w14:kx="0" w14:ky="0" w14:algn="none">
            <w14:srgbClr w14:val="000000"/>
          </w14:shadow>
        </w:rPr>
        <w:t>oxid uhelnatý - CO</w:t>
      </w:r>
    </w:p>
    <w:p w14:paraId="784E0721" w14:textId="178E9CF5" w:rsidR="00830024" w:rsidRPr="00084714" w:rsidRDefault="00830024" w:rsidP="00F7529A">
      <w:pPr>
        <w:pStyle w:val="Odstavecseseznamem"/>
        <w:numPr>
          <w:ilvl w:val="0"/>
          <w:numId w:val="30"/>
        </w:numPr>
        <w:spacing w:line="276" w:lineRule="auto"/>
        <w:ind w:left="709" w:hanging="425"/>
        <w:jc w:val="both"/>
        <w:rPr>
          <w:rFonts w:ascii="Mulish" w:hAnsi="Mulish"/>
          <w:sz w:val="22"/>
          <w:szCs w:val="22"/>
          <w14:shadow w14:blurRad="0" w14:dist="0" w14:dir="0" w14:sx="0" w14:sy="0" w14:kx="0" w14:ky="0" w14:algn="none">
            <w14:srgbClr w14:val="000000"/>
          </w14:shadow>
        </w:rPr>
      </w:pPr>
      <w:r w:rsidRPr="00084714">
        <w:rPr>
          <w:rFonts w:ascii="Mulish" w:hAnsi="Mulish"/>
          <w:sz w:val="22"/>
          <w:szCs w:val="22"/>
          <w14:shadow w14:blurRad="0" w14:dist="0" w14:dir="0" w14:sx="0" w14:sy="0" w14:kx="0" w14:ky="0" w14:algn="none">
            <w14:srgbClr w14:val="000000"/>
          </w14:shadow>
        </w:rPr>
        <w:t>denní cílová hodnota AQG pro CO – 4 mg/m</w:t>
      </w:r>
      <w:r w:rsidRPr="00084714">
        <w:rPr>
          <w:rFonts w:ascii="Mulish" w:hAnsi="Mulish"/>
          <w:sz w:val="22"/>
          <w:szCs w:val="22"/>
          <w:vertAlign w:val="superscript"/>
          <w14:shadow w14:blurRad="0" w14:dist="0" w14:dir="0" w14:sx="0" w14:sy="0" w14:kx="0" w14:ky="0" w14:algn="none">
            <w14:srgbClr w14:val="000000"/>
          </w14:shadow>
        </w:rPr>
        <w:t>3</w:t>
      </w:r>
      <w:r w:rsidRPr="00084714">
        <w:rPr>
          <w:rFonts w:ascii="Mulish" w:hAnsi="Mulish"/>
          <w:sz w:val="22"/>
          <w:szCs w:val="22"/>
          <w14:shadow w14:blurRad="0" w14:dist="0" w14:dir="0" w14:sx="0" w14:sy="0" w14:kx="0" w14:ky="0" w14:algn="none">
            <w14:srgbClr w14:val="000000"/>
          </w14:shadow>
        </w:rPr>
        <w:t>/24 hodin nebyla v roce 202</w:t>
      </w:r>
      <w:r w:rsidR="00084714" w:rsidRPr="00084714">
        <w:rPr>
          <w:rFonts w:ascii="Mulish" w:hAnsi="Mulish"/>
          <w:sz w:val="22"/>
          <w:szCs w:val="22"/>
          <w14:shadow w14:blurRad="0" w14:dist="0" w14:dir="0" w14:sx="0" w14:sy="0" w14:kx="0" w14:ky="0" w14:algn="none">
            <w14:srgbClr w14:val="000000"/>
          </w14:shadow>
        </w:rPr>
        <w:t>2</w:t>
      </w:r>
      <w:r w:rsidRPr="00084714">
        <w:rPr>
          <w:rFonts w:ascii="Mulish" w:hAnsi="Mulish"/>
          <w:sz w:val="22"/>
          <w:szCs w:val="22"/>
          <w14:shadow w14:blurRad="0" w14:dist="0" w14:dir="0" w14:sx="0" w14:sy="0" w14:kx="0" w14:ky="0" w14:algn="none">
            <w14:srgbClr w14:val="000000"/>
          </w14:shadow>
        </w:rPr>
        <w:t xml:space="preserve"> na žádné stanici překročena.</w:t>
      </w:r>
    </w:p>
    <w:p w14:paraId="64747DCA" w14:textId="77777777" w:rsidR="00830024" w:rsidRPr="00D66167" w:rsidRDefault="00830024" w:rsidP="00F7529A">
      <w:pPr>
        <w:pStyle w:val="Odstavecseseznamem"/>
        <w:numPr>
          <w:ilvl w:val="0"/>
          <w:numId w:val="30"/>
        </w:numPr>
        <w:spacing w:line="276" w:lineRule="auto"/>
        <w:ind w:left="284" w:hanging="284"/>
        <w:jc w:val="both"/>
        <w:rPr>
          <w:rFonts w:ascii="Mulish" w:hAnsi="Mulish"/>
          <w:b/>
          <w:color w:val="FF0000"/>
          <w:sz w:val="22"/>
          <w:szCs w:val="22"/>
          <w14:shadow w14:blurRad="0" w14:dist="0" w14:dir="0" w14:sx="0" w14:sy="0" w14:kx="0" w14:ky="0" w14:algn="none">
            <w14:srgbClr w14:val="000000"/>
          </w14:shadow>
        </w:rPr>
      </w:pPr>
      <w:r w:rsidRPr="00F7529A">
        <w:rPr>
          <w:rFonts w:ascii="Mulish" w:hAnsi="Mulish"/>
          <w:b/>
          <w:sz w:val="22"/>
          <w:szCs w:val="22"/>
          <w14:shadow w14:blurRad="0" w14:dist="0" w14:dir="0" w14:sx="0" w14:sy="0" w14:kx="0" w14:ky="0" w14:algn="none">
            <w14:srgbClr w14:val="000000"/>
          </w14:shadow>
        </w:rPr>
        <w:t>suspendované částice frakce PM</w:t>
      </w:r>
      <w:r w:rsidRPr="00F7529A">
        <w:rPr>
          <w:rFonts w:ascii="Mulish" w:hAnsi="Mulish"/>
          <w:b/>
          <w:sz w:val="22"/>
          <w:szCs w:val="22"/>
          <w:vertAlign w:val="subscript"/>
          <w14:shadow w14:blurRad="0" w14:dist="0" w14:dir="0" w14:sx="0" w14:sy="0" w14:kx="0" w14:ky="0" w14:algn="none">
            <w14:srgbClr w14:val="000000"/>
          </w14:shadow>
        </w:rPr>
        <w:t>10</w:t>
      </w:r>
    </w:p>
    <w:p w14:paraId="640A9183" w14:textId="62B176C9" w:rsidR="00830024" w:rsidRPr="00F7529A" w:rsidRDefault="00F7529A" w:rsidP="00F7529A">
      <w:pPr>
        <w:numPr>
          <w:ilvl w:val="1"/>
          <w:numId w:val="30"/>
        </w:numPr>
        <w:autoSpaceDE/>
        <w:autoSpaceDN/>
        <w:adjustRightInd/>
        <w:spacing w:line="276" w:lineRule="auto"/>
        <w:ind w:left="709" w:hanging="425"/>
        <w:jc w:val="both"/>
        <w:textAlignment w:val="auto"/>
        <w:rPr>
          <w:color w:val="auto"/>
          <w:sz w:val="22"/>
          <w:szCs w:val="22"/>
        </w:rPr>
      </w:pPr>
      <w:r w:rsidRPr="00F7529A">
        <w:rPr>
          <w:color w:val="auto"/>
          <w:sz w:val="22"/>
          <w:szCs w:val="22"/>
        </w:rPr>
        <w:t>Na 17 kontinuálně měřicích stanicích (</w:t>
      </w:r>
      <w:r>
        <w:rPr>
          <w:color w:val="auto"/>
          <w:sz w:val="22"/>
          <w:szCs w:val="22"/>
        </w:rPr>
        <w:t xml:space="preserve">cca </w:t>
      </w:r>
      <w:r w:rsidRPr="00F7529A">
        <w:rPr>
          <w:color w:val="auto"/>
          <w:sz w:val="22"/>
          <w:szCs w:val="22"/>
        </w:rPr>
        <w:t>14 %), včetně pozaďových, nebyla v roce 2022 alespoň jednou překročena hodnota doporučení WHO (45 µg/m</w:t>
      </w:r>
      <w:r w:rsidRPr="00F7529A">
        <w:rPr>
          <w:color w:val="auto"/>
          <w:sz w:val="22"/>
          <w:szCs w:val="22"/>
          <w:vertAlign w:val="superscript"/>
        </w:rPr>
        <w:t>3</w:t>
      </w:r>
      <w:r w:rsidRPr="00F7529A">
        <w:rPr>
          <w:color w:val="auto"/>
          <w:sz w:val="22"/>
          <w:szCs w:val="22"/>
        </w:rPr>
        <w:t xml:space="preserve">/24hodin). Nejvíce (&gt; 50) překročení doporučené 24 hodinové hodnoty WHO bylo v roce 2022 naměřeno na stanicích v Moravskoslezském kraji - v Rychvaldu - okr. Karviná (TRYC) – 45 překročení, Ostravě </w:t>
      </w:r>
      <w:r w:rsidR="003F1BE8">
        <w:rPr>
          <w:color w:val="auto"/>
          <w:sz w:val="22"/>
          <w:szCs w:val="22"/>
        </w:rPr>
        <w:t>Č</w:t>
      </w:r>
      <w:r w:rsidRPr="00F7529A">
        <w:rPr>
          <w:color w:val="auto"/>
          <w:sz w:val="22"/>
          <w:szCs w:val="22"/>
        </w:rPr>
        <w:t xml:space="preserve">eskobratrské (TOCB) – 47, </w:t>
      </w:r>
      <w:proofErr w:type="spellStart"/>
      <w:r w:rsidRPr="00F7529A">
        <w:rPr>
          <w:color w:val="auto"/>
          <w:sz w:val="22"/>
          <w:szCs w:val="22"/>
        </w:rPr>
        <w:t>Věřnovicích</w:t>
      </w:r>
      <w:proofErr w:type="spellEnd"/>
      <w:r w:rsidRPr="00F7529A">
        <w:rPr>
          <w:color w:val="auto"/>
          <w:sz w:val="22"/>
          <w:szCs w:val="22"/>
        </w:rPr>
        <w:t xml:space="preserve"> (TVER) – 54 a v Ostravě-Radvanicích (TORE) – 65. </w:t>
      </w:r>
      <w:r w:rsidR="00830024" w:rsidRPr="00F7529A">
        <w:rPr>
          <w:color w:val="auto"/>
          <w:sz w:val="22"/>
          <w:szCs w:val="22"/>
        </w:rPr>
        <w:t xml:space="preserve"> </w:t>
      </w:r>
    </w:p>
    <w:p w14:paraId="047D3459" w14:textId="0929C194" w:rsidR="00830024" w:rsidRPr="00F7529A" w:rsidRDefault="00830024" w:rsidP="00F7529A">
      <w:pPr>
        <w:numPr>
          <w:ilvl w:val="1"/>
          <w:numId w:val="30"/>
        </w:numPr>
        <w:autoSpaceDE/>
        <w:autoSpaceDN/>
        <w:adjustRightInd/>
        <w:spacing w:line="276" w:lineRule="auto"/>
        <w:ind w:left="709" w:hanging="425"/>
        <w:jc w:val="both"/>
        <w:textAlignment w:val="auto"/>
        <w:rPr>
          <w:color w:val="auto"/>
          <w:sz w:val="22"/>
          <w:szCs w:val="22"/>
        </w:rPr>
      </w:pPr>
      <w:r w:rsidRPr="00F7529A">
        <w:rPr>
          <w:color w:val="auto"/>
          <w:sz w:val="22"/>
          <w:szCs w:val="22"/>
        </w:rPr>
        <w:t>roční cílová hodnota AQG WHO – 15 µg/m</w:t>
      </w:r>
      <w:r w:rsidRPr="00F7529A">
        <w:rPr>
          <w:color w:val="auto"/>
          <w:sz w:val="22"/>
          <w:szCs w:val="22"/>
          <w:vertAlign w:val="superscript"/>
        </w:rPr>
        <w:t>3</w:t>
      </w:r>
      <w:r w:rsidRPr="00F7529A">
        <w:rPr>
          <w:color w:val="auto"/>
          <w:sz w:val="22"/>
          <w:szCs w:val="22"/>
        </w:rPr>
        <w:t xml:space="preserve"> byla v roce 202</w:t>
      </w:r>
      <w:r w:rsidR="00F7529A" w:rsidRPr="00F7529A">
        <w:rPr>
          <w:color w:val="auto"/>
          <w:sz w:val="22"/>
          <w:szCs w:val="22"/>
        </w:rPr>
        <w:t>2</w:t>
      </w:r>
      <w:r w:rsidRPr="00F7529A">
        <w:rPr>
          <w:color w:val="auto"/>
          <w:sz w:val="22"/>
          <w:szCs w:val="22"/>
        </w:rPr>
        <w:t xml:space="preserve"> překročena na </w:t>
      </w:r>
      <w:r w:rsidR="00F7529A" w:rsidRPr="00F7529A">
        <w:rPr>
          <w:color w:val="auto"/>
          <w:sz w:val="22"/>
          <w:szCs w:val="22"/>
        </w:rPr>
        <w:t>94</w:t>
      </w:r>
      <w:r w:rsidRPr="00F7529A">
        <w:rPr>
          <w:color w:val="auto"/>
          <w:sz w:val="22"/>
          <w:szCs w:val="22"/>
        </w:rPr>
        <w:t xml:space="preserve"> městských stanicích (</w:t>
      </w:r>
      <w:r w:rsidRPr="00F7529A">
        <w:rPr>
          <w:snapToGrid w:val="0"/>
          <w:color w:val="auto"/>
          <w:sz w:val="22"/>
          <w:szCs w:val="22"/>
        </w:rPr>
        <w:sym w:font="Symbol" w:char="F0BB"/>
      </w:r>
      <w:r w:rsidRPr="00F7529A">
        <w:rPr>
          <w:color w:val="auto"/>
          <w:sz w:val="22"/>
          <w:szCs w:val="22"/>
        </w:rPr>
        <w:t xml:space="preserve"> </w:t>
      </w:r>
      <w:r w:rsidR="00F7529A" w:rsidRPr="00F7529A">
        <w:rPr>
          <w:color w:val="auto"/>
          <w:sz w:val="22"/>
          <w:szCs w:val="22"/>
        </w:rPr>
        <w:t>76</w:t>
      </w:r>
      <w:r w:rsidRPr="00F7529A">
        <w:rPr>
          <w:color w:val="auto"/>
          <w:sz w:val="22"/>
          <w:szCs w:val="22"/>
        </w:rPr>
        <w:t xml:space="preserve"> %).</w:t>
      </w:r>
    </w:p>
    <w:p w14:paraId="524DE112" w14:textId="77777777" w:rsidR="00830024" w:rsidRPr="00F7529A" w:rsidRDefault="00830024" w:rsidP="00F7529A">
      <w:pPr>
        <w:pStyle w:val="Odstavecseseznamem"/>
        <w:numPr>
          <w:ilvl w:val="0"/>
          <w:numId w:val="30"/>
        </w:numPr>
        <w:spacing w:line="276" w:lineRule="auto"/>
        <w:ind w:left="284" w:hanging="284"/>
        <w:jc w:val="both"/>
        <w:rPr>
          <w:rFonts w:ascii="Mulish" w:hAnsi="Mulish"/>
          <w:b/>
          <w:sz w:val="22"/>
          <w:szCs w:val="22"/>
          <w14:shadow w14:blurRad="0" w14:dist="0" w14:dir="0" w14:sx="0" w14:sy="0" w14:kx="0" w14:ky="0" w14:algn="none">
            <w14:srgbClr w14:val="000000"/>
          </w14:shadow>
        </w:rPr>
      </w:pPr>
      <w:r w:rsidRPr="00F7529A">
        <w:rPr>
          <w:rFonts w:ascii="Mulish" w:hAnsi="Mulish"/>
          <w:b/>
          <w:sz w:val="22"/>
          <w:szCs w:val="22"/>
          <w14:shadow w14:blurRad="0" w14:dist="0" w14:dir="0" w14:sx="0" w14:sy="0" w14:kx="0" w14:ky="0" w14:algn="none">
            <w14:srgbClr w14:val="000000"/>
          </w14:shadow>
        </w:rPr>
        <w:t>suspendované částice frakce PM</w:t>
      </w:r>
      <w:r w:rsidRPr="00F7529A">
        <w:rPr>
          <w:rFonts w:ascii="Mulish" w:hAnsi="Mulish"/>
          <w:b/>
          <w:sz w:val="22"/>
          <w:szCs w:val="22"/>
          <w:vertAlign w:val="subscript"/>
          <w14:shadow w14:blurRad="0" w14:dist="0" w14:dir="0" w14:sx="0" w14:sy="0" w14:kx="0" w14:ky="0" w14:algn="none">
            <w14:srgbClr w14:val="000000"/>
          </w14:shadow>
        </w:rPr>
        <w:t>2,5</w:t>
      </w:r>
    </w:p>
    <w:p w14:paraId="10C045DC" w14:textId="1D2A89EE" w:rsidR="00830024" w:rsidRPr="00F7529A" w:rsidRDefault="00830024" w:rsidP="00F7529A">
      <w:pPr>
        <w:pStyle w:val="Odstavecseseznamem"/>
        <w:numPr>
          <w:ilvl w:val="0"/>
          <w:numId w:val="30"/>
        </w:numPr>
        <w:tabs>
          <w:tab w:val="left" w:pos="5103"/>
        </w:tabs>
        <w:spacing w:line="276" w:lineRule="auto"/>
        <w:ind w:left="709" w:hanging="425"/>
        <w:jc w:val="both"/>
        <w:rPr>
          <w:rFonts w:ascii="Mulish" w:hAnsi="Mulish"/>
          <w:b/>
          <w:sz w:val="22"/>
          <w:szCs w:val="22"/>
        </w:rPr>
      </w:pPr>
      <w:r w:rsidRPr="00F7529A">
        <w:rPr>
          <w:rFonts w:ascii="Mulish" w:hAnsi="Mulish"/>
          <w:sz w:val="22"/>
          <w:szCs w:val="22"/>
          <w14:shadow w14:blurRad="0" w14:dist="0" w14:dir="0" w14:sx="0" w14:sy="0" w14:kx="0" w14:ky="0" w14:algn="none">
            <w14:srgbClr w14:val="000000"/>
          </w14:shadow>
        </w:rPr>
        <w:t>roční cílová hodnota AQG WHO – 5 µg/m</w:t>
      </w:r>
      <w:r w:rsidRPr="00F7529A">
        <w:rPr>
          <w:rFonts w:ascii="Mulish" w:hAnsi="Mulish"/>
          <w:sz w:val="22"/>
          <w:szCs w:val="22"/>
          <w:vertAlign w:val="superscript"/>
          <w14:shadow w14:blurRad="0" w14:dist="0" w14:dir="0" w14:sx="0" w14:sy="0" w14:kx="0" w14:ky="0" w14:algn="none">
            <w14:srgbClr w14:val="000000"/>
          </w14:shadow>
        </w:rPr>
        <w:t>3</w:t>
      </w:r>
      <w:r w:rsidRPr="00F7529A">
        <w:rPr>
          <w:rFonts w:ascii="Mulish" w:hAnsi="Mulish"/>
          <w:sz w:val="22"/>
          <w:szCs w:val="22"/>
          <w14:shadow w14:blurRad="0" w14:dist="0" w14:dir="0" w14:sx="0" w14:sy="0" w14:kx="0" w14:ky="0" w14:algn="none">
            <w14:srgbClr w14:val="000000"/>
          </w14:shadow>
        </w:rPr>
        <w:t xml:space="preserve"> byla v roce 202</w:t>
      </w:r>
      <w:r w:rsidR="00F7529A" w:rsidRPr="00F7529A">
        <w:rPr>
          <w:rFonts w:ascii="Mulish" w:hAnsi="Mulish"/>
          <w:sz w:val="22"/>
          <w:szCs w:val="22"/>
          <w14:shadow w14:blurRad="0" w14:dist="0" w14:dir="0" w14:sx="0" w14:sy="0" w14:kx="0" w14:ky="0" w14:algn="none">
            <w14:srgbClr w14:val="000000"/>
          </w14:shadow>
        </w:rPr>
        <w:t>2</w:t>
      </w:r>
      <w:r w:rsidRPr="00F7529A">
        <w:rPr>
          <w:rFonts w:ascii="Mulish" w:hAnsi="Mulish"/>
          <w:sz w:val="22"/>
          <w:szCs w:val="22"/>
          <w14:shadow w14:blurRad="0" w14:dist="0" w14:dir="0" w14:sx="0" w14:sy="0" w14:kx="0" w14:ky="0" w14:algn="none">
            <w14:srgbClr w14:val="000000"/>
          </w14:shadow>
        </w:rPr>
        <w:t xml:space="preserve"> překročena na všech měřicích stanicích. </w:t>
      </w:r>
      <w:r w:rsidR="00F7529A" w:rsidRPr="00F7529A">
        <w:rPr>
          <w:rFonts w:ascii="Mulish" w:hAnsi="Mulish"/>
          <w:sz w:val="22"/>
          <w:szCs w:val="22"/>
          <w14:shadow w14:blurRad="0" w14:dist="0" w14:dir="0" w14:sx="0" w14:sy="0" w14:kx="0" w14:ky="0" w14:algn="none">
            <w14:srgbClr w14:val="000000"/>
          </w14:shadow>
        </w:rPr>
        <w:t xml:space="preserve">Na dvanácti </w:t>
      </w:r>
      <w:r w:rsidRPr="00F7529A">
        <w:rPr>
          <w:rFonts w:ascii="Mulish" w:hAnsi="Mulish"/>
          <w:sz w:val="22"/>
          <w:szCs w:val="22"/>
          <w14:shadow w14:blurRad="0" w14:dist="0" w14:dir="0" w14:sx="0" w14:sy="0" w14:kx="0" w14:ky="0" w14:algn="none">
            <w14:srgbClr w14:val="000000"/>
          </w14:shadow>
        </w:rPr>
        <w:t>z nich nebylo překročeno 10 µg/m</w:t>
      </w:r>
      <w:r w:rsidRPr="00F7529A">
        <w:rPr>
          <w:rFonts w:ascii="Mulish" w:hAnsi="Mulish"/>
          <w:sz w:val="22"/>
          <w:szCs w:val="22"/>
          <w:vertAlign w:val="superscript"/>
          <w14:shadow w14:blurRad="0" w14:dist="0" w14:dir="0" w14:sx="0" w14:sy="0" w14:kx="0" w14:ky="0" w14:algn="none">
            <w14:srgbClr w14:val="000000"/>
          </w14:shadow>
        </w:rPr>
        <w:t>3</w:t>
      </w:r>
      <w:r w:rsidRPr="00F7529A">
        <w:rPr>
          <w:rFonts w:ascii="Mulish" w:hAnsi="Mulish"/>
          <w:sz w:val="22"/>
          <w:szCs w:val="22"/>
          <w14:shadow w14:blurRad="0" w14:dist="0" w14:dir="0" w14:sx="0" w14:sy="0" w14:kx="0" w14:ky="0" w14:algn="none">
            <w14:srgbClr w14:val="000000"/>
          </w14:shadow>
        </w:rPr>
        <w:t xml:space="preserve"> ročního průměru (tj. dvojnásobek teoretické nejnižší rizikové expozice AQG podle WHO);</w:t>
      </w:r>
    </w:p>
    <w:p w14:paraId="3B44C5FD" w14:textId="22F90280" w:rsidR="00830024" w:rsidRPr="00F7529A" w:rsidRDefault="00830024" w:rsidP="00F7529A">
      <w:pPr>
        <w:pStyle w:val="Odstavecseseznamem"/>
        <w:numPr>
          <w:ilvl w:val="0"/>
          <w:numId w:val="30"/>
        </w:numPr>
        <w:tabs>
          <w:tab w:val="left" w:pos="5103"/>
        </w:tabs>
        <w:spacing w:line="276" w:lineRule="auto"/>
        <w:ind w:left="709" w:hanging="425"/>
        <w:jc w:val="both"/>
        <w:rPr>
          <w:rFonts w:ascii="Mulish" w:hAnsi="Mulish"/>
          <w:sz w:val="22"/>
          <w:szCs w:val="22"/>
          <w14:shadow w14:blurRad="0" w14:dist="0" w14:dir="0" w14:sx="0" w14:sy="0" w14:kx="0" w14:ky="0" w14:algn="none">
            <w14:srgbClr w14:val="000000"/>
          </w14:shadow>
        </w:rPr>
      </w:pPr>
      <w:r w:rsidRPr="00F7529A">
        <w:rPr>
          <w:rFonts w:ascii="Mulish" w:hAnsi="Mulish"/>
          <w:sz w:val="22"/>
          <w:szCs w:val="22"/>
          <w14:shadow w14:blurRad="0" w14:dist="0" w14:dir="0" w14:sx="0" w14:sy="0" w14:kx="0" w14:ky="0" w14:algn="none">
            <w14:srgbClr w14:val="000000"/>
          </w14:shadow>
        </w:rPr>
        <w:t xml:space="preserve">na všech </w:t>
      </w:r>
      <w:r w:rsidR="00F7529A" w:rsidRPr="00F7529A">
        <w:rPr>
          <w:rFonts w:ascii="Mulish" w:hAnsi="Mulish"/>
          <w:sz w:val="22"/>
          <w:szCs w:val="22"/>
          <w14:shadow w14:blurRad="0" w14:dist="0" w14:dir="0" w14:sx="0" w14:sy="0" w14:kx="0" w14:ky="0" w14:algn="none">
            <w14:srgbClr w14:val="000000"/>
          </w14:shadow>
        </w:rPr>
        <w:t>79</w:t>
      </w:r>
      <w:r w:rsidRPr="00F7529A">
        <w:rPr>
          <w:rFonts w:ascii="Mulish" w:hAnsi="Mulish"/>
          <w:sz w:val="22"/>
          <w:szCs w:val="22"/>
          <w14:shadow w14:blurRad="0" w14:dist="0" w14:dir="0" w14:sx="0" w14:sy="0" w14:kx="0" w14:ky="0" w14:algn="none">
            <w14:srgbClr w14:val="000000"/>
          </w14:shadow>
        </w:rPr>
        <w:t xml:space="preserve"> do hodnocení zahrnutých stanicích, včetně pozaďových</w:t>
      </w:r>
      <w:r w:rsidR="00F7529A" w:rsidRPr="00F7529A">
        <w:rPr>
          <w:rFonts w:ascii="Mulish" w:hAnsi="Mulish"/>
          <w:sz w:val="22"/>
          <w:szCs w:val="22"/>
          <w14:shadow w14:blurRad="0" w14:dist="0" w14:dir="0" w14:sx="0" w14:sy="0" w14:kx="0" w14:ky="0" w14:algn="none">
            <w14:srgbClr w14:val="000000"/>
          </w14:shadow>
        </w:rPr>
        <w:t>, byla</w:t>
      </w:r>
      <w:r w:rsidRPr="00F7529A">
        <w:rPr>
          <w:rFonts w:ascii="Mulish" w:hAnsi="Mulish"/>
          <w:sz w:val="22"/>
          <w:szCs w:val="22"/>
          <w14:shadow w14:blurRad="0" w14:dist="0" w14:dir="0" w14:sx="0" w14:sy="0" w14:kx="0" w14:ky="0" w14:algn="none">
            <w14:srgbClr w14:val="000000"/>
          </w14:shadow>
        </w:rPr>
        <w:t xml:space="preserve"> v roce 202</w:t>
      </w:r>
      <w:r w:rsidR="00F7529A" w:rsidRPr="00F7529A">
        <w:rPr>
          <w:rFonts w:ascii="Mulish" w:hAnsi="Mulish"/>
          <w:sz w:val="22"/>
          <w:szCs w:val="22"/>
          <w14:shadow w14:blurRad="0" w14:dist="0" w14:dir="0" w14:sx="0" w14:sy="0" w14:kx="0" w14:ky="0" w14:algn="none">
            <w14:srgbClr w14:val="000000"/>
          </w14:shadow>
        </w:rPr>
        <w:t>2</w:t>
      </w:r>
      <w:r w:rsidRPr="00F7529A">
        <w:rPr>
          <w:rFonts w:ascii="Mulish" w:hAnsi="Mulish"/>
          <w:sz w:val="22"/>
          <w:szCs w:val="22"/>
          <w14:shadow w14:blurRad="0" w14:dist="0" w14:dir="0" w14:sx="0" w14:sy="0" w14:kx="0" w14:ky="0" w14:algn="none">
            <w14:srgbClr w14:val="000000"/>
          </w14:shadow>
        </w:rPr>
        <w:t xml:space="preserve"> překročena cílová hodnota 24 hodinového průměru AQG WHO 15 µg/m</w:t>
      </w:r>
      <w:r w:rsidRPr="00F7529A">
        <w:rPr>
          <w:rFonts w:ascii="Mulish" w:hAnsi="Mulish"/>
          <w:sz w:val="22"/>
          <w:szCs w:val="22"/>
          <w:vertAlign w:val="superscript"/>
          <w14:shadow w14:blurRad="0" w14:dist="0" w14:dir="0" w14:sx="0" w14:sy="0" w14:kx="0" w14:ky="0" w14:algn="none">
            <w14:srgbClr w14:val="000000"/>
          </w14:shadow>
        </w:rPr>
        <w:t>3</w:t>
      </w:r>
      <w:r w:rsidRPr="00F7529A">
        <w:rPr>
          <w:rFonts w:ascii="Mulish" w:hAnsi="Mulish"/>
          <w:sz w:val="22"/>
          <w:szCs w:val="22"/>
          <w14:shadow w14:blurRad="0" w14:dist="0" w14:dir="0" w14:sx="0" w14:sy="0" w14:kx="0" w14:ky="0" w14:algn="none">
            <w14:srgbClr w14:val="000000"/>
          </w14:shadow>
        </w:rPr>
        <w:t>.</w:t>
      </w:r>
      <w:r w:rsidR="00F7529A" w:rsidRPr="00F7529A">
        <w:rPr>
          <w:rFonts w:ascii="Mulish" w:hAnsi="Mulish"/>
          <w:sz w:val="22"/>
          <w:szCs w:val="22"/>
          <w14:shadow w14:blurRad="0" w14:dist="0" w14:dir="0" w14:sx="0" w14:sy="0" w14:kx="0" w14:ky="0" w14:algn="none">
            <w14:srgbClr w14:val="000000"/>
          </w14:shadow>
        </w:rPr>
        <w:t xml:space="preserve"> Nejvíce překročení denní doporučené cílové hodnoty WHO – 243 bylo naměřeno na stanici  Ostrava-Radvanice.</w:t>
      </w:r>
    </w:p>
    <w:p w14:paraId="586C562C" w14:textId="77777777" w:rsidR="00830024" w:rsidRPr="00D66167" w:rsidRDefault="00830024" w:rsidP="00830024">
      <w:pPr>
        <w:pStyle w:val="Zkladntext"/>
        <w:tabs>
          <w:tab w:val="left" w:pos="5103"/>
        </w:tabs>
        <w:spacing w:line="240" w:lineRule="atLeast"/>
        <w:jc w:val="both"/>
        <w:rPr>
          <w:rFonts w:ascii="Mulish" w:hAnsi="Mulish"/>
          <w:color w:val="FF0000"/>
          <w:sz w:val="22"/>
          <w:szCs w:val="22"/>
        </w:rPr>
      </w:pPr>
    </w:p>
    <w:p w14:paraId="4F32B8F7" w14:textId="77777777" w:rsidR="00830024" w:rsidRPr="00D66167" w:rsidRDefault="00830024" w:rsidP="00830024">
      <w:pPr>
        <w:pStyle w:val="Nadpis2"/>
        <w:keepLines w:val="0"/>
        <w:numPr>
          <w:ilvl w:val="0"/>
          <w:numId w:val="13"/>
        </w:numPr>
        <w:autoSpaceDE/>
        <w:autoSpaceDN/>
        <w:adjustRightInd/>
        <w:spacing w:before="0" w:line="240" w:lineRule="auto"/>
        <w:textAlignment w:val="auto"/>
        <w:rPr>
          <w:sz w:val="28"/>
          <w:szCs w:val="28"/>
        </w:rPr>
      </w:pPr>
      <w:r w:rsidRPr="00D66167">
        <w:rPr>
          <w:color w:val="FF0000"/>
          <w:sz w:val="22"/>
          <w:szCs w:val="22"/>
        </w:rPr>
        <w:br w:type="page"/>
      </w:r>
      <w:r w:rsidRPr="00D66167">
        <w:rPr>
          <w:sz w:val="28"/>
          <w:szCs w:val="28"/>
        </w:rPr>
        <w:lastRenderedPageBreak/>
        <w:t xml:space="preserve"> Použitá literatura</w:t>
      </w:r>
    </w:p>
    <w:p w14:paraId="67EEB38B" w14:textId="77777777" w:rsidR="00830024" w:rsidRPr="006B5E35" w:rsidRDefault="00830024" w:rsidP="00830024">
      <w:pPr>
        <w:numPr>
          <w:ilvl w:val="0"/>
          <w:numId w:val="24"/>
        </w:numPr>
        <w:spacing w:before="120" w:line="240" w:lineRule="auto"/>
        <w:jc w:val="both"/>
        <w:textAlignment w:val="auto"/>
        <w:rPr>
          <w:color w:val="auto"/>
          <w:sz w:val="22"/>
          <w:szCs w:val="22"/>
        </w:rPr>
      </w:pPr>
      <w:r w:rsidRPr="006B5E35">
        <w:rPr>
          <w:color w:val="auto"/>
          <w:sz w:val="22"/>
          <w:szCs w:val="22"/>
        </w:rPr>
        <w:t xml:space="preserve">Air </w:t>
      </w:r>
      <w:proofErr w:type="spellStart"/>
      <w:r w:rsidRPr="006B5E35">
        <w:rPr>
          <w:color w:val="auto"/>
          <w:sz w:val="22"/>
          <w:szCs w:val="22"/>
        </w:rPr>
        <w:t>Quality</w:t>
      </w:r>
      <w:proofErr w:type="spellEnd"/>
      <w:r w:rsidRPr="006B5E35">
        <w:rPr>
          <w:color w:val="auto"/>
          <w:sz w:val="22"/>
          <w:szCs w:val="22"/>
        </w:rPr>
        <w:t xml:space="preserve"> </w:t>
      </w:r>
      <w:proofErr w:type="spellStart"/>
      <w:r w:rsidRPr="006B5E35">
        <w:rPr>
          <w:color w:val="auto"/>
          <w:sz w:val="22"/>
          <w:szCs w:val="22"/>
        </w:rPr>
        <w:t>Guidelines</w:t>
      </w:r>
      <w:proofErr w:type="spellEnd"/>
      <w:r w:rsidRPr="006B5E35">
        <w:rPr>
          <w:color w:val="auto"/>
          <w:sz w:val="22"/>
          <w:szCs w:val="22"/>
        </w:rPr>
        <w:t xml:space="preserve"> </w:t>
      </w:r>
      <w:proofErr w:type="spellStart"/>
      <w:r w:rsidRPr="006B5E35">
        <w:rPr>
          <w:color w:val="auto"/>
          <w:sz w:val="22"/>
          <w:szCs w:val="22"/>
        </w:rPr>
        <w:t>for</w:t>
      </w:r>
      <w:proofErr w:type="spellEnd"/>
      <w:r w:rsidRPr="006B5E35">
        <w:rPr>
          <w:color w:val="auto"/>
          <w:sz w:val="22"/>
          <w:szCs w:val="22"/>
        </w:rPr>
        <w:t xml:space="preserve"> </w:t>
      </w:r>
      <w:proofErr w:type="spellStart"/>
      <w:r w:rsidRPr="006B5E35">
        <w:rPr>
          <w:color w:val="auto"/>
          <w:sz w:val="22"/>
          <w:szCs w:val="22"/>
        </w:rPr>
        <w:t>Europe</w:t>
      </w:r>
      <w:proofErr w:type="spellEnd"/>
      <w:r w:rsidRPr="006B5E35">
        <w:rPr>
          <w:color w:val="auto"/>
          <w:sz w:val="22"/>
          <w:szCs w:val="22"/>
        </w:rPr>
        <w:t xml:space="preserve"> 2th </w:t>
      </w:r>
      <w:proofErr w:type="spellStart"/>
      <w:r w:rsidRPr="006B5E35">
        <w:rPr>
          <w:color w:val="auto"/>
          <w:sz w:val="22"/>
          <w:szCs w:val="22"/>
        </w:rPr>
        <w:t>edition</w:t>
      </w:r>
      <w:proofErr w:type="spellEnd"/>
      <w:r w:rsidRPr="006B5E35">
        <w:rPr>
          <w:color w:val="auto"/>
          <w:sz w:val="22"/>
          <w:szCs w:val="22"/>
        </w:rPr>
        <w:t xml:space="preserve">, WHO </w:t>
      </w:r>
      <w:proofErr w:type="spellStart"/>
      <w:r w:rsidRPr="006B5E35">
        <w:rPr>
          <w:color w:val="auto"/>
          <w:sz w:val="22"/>
          <w:szCs w:val="22"/>
        </w:rPr>
        <w:t>Regional</w:t>
      </w:r>
      <w:proofErr w:type="spellEnd"/>
      <w:r w:rsidRPr="006B5E35">
        <w:rPr>
          <w:color w:val="auto"/>
          <w:sz w:val="22"/>
          <w:szCs w:val="22"/>
        </w:rPr>
        <w:t xml:space="preserve"> Office </w:t>
      </w:r>
      <w:proofErr w:type="spellStart"/>
      <w:r w:rsidRPr="006B5E35">
        <w:rPr>
          <w:color w:val="auto"/>
          <w:sz w:val="22"/>
          <w:szCs w:val="22"/>
        </w:rPr>
        <w:t>for</w:t>
      </w:r>
      <w:proofErr w:type="spellEnd"/>
      <w:r w:rsidRPr="006B5E35">
        <w:rPr>
          <w:color w:val="auto"/>
          <w:sz w:val="22"/>
          <w:szCs w:val="22"/>
        </w:rPr>
        <w:t xml:space="preserve"> </w:t>
      </w:r>
      <w:proofErr w:type="spellStart"/>
      <w:r w:rsidRPr="006B5E35">
        <w:rPr>
          <w:color w:val="auto"/>
          <w:sz w:val="22"/>
          <w:szCs w:val="22"/>
        </w:rPr>
        <w:t>Europe</w:t>
      </w:r>
      <w:proofErr w:type="spellEnd"/>
      <w:r w:rsidRPr="006B5E35">
        <w:rPr>
          <w:color w:val="auto"/>
          <w:sz w:val="22"/>
          <w:szCs w:val="22"/>
        </w:rPr>
        <w:t xml:space="preserve">, WHO, </w:t>
      </w:r>
      <w:proofErr w:type="spellStart"/>
      <w:r w:rsidRPr="006B5E35">
        <w:rPr>
          <w:color w:val="auto"/>
          <w:sz w:val="22"/>
          <w:szCs w:val="22"/>
        </w:rPr>
        <w:t>Regional</w:t>
      </w:r>
      <w:proofErr w:type="spellEnd"/>
      <w:r w:rsidRPr="006B5E35">
        <w:rPr>
          <w:color w:val="auto"/>
          <w:sz w:val="22"/>
          <w:szCs w:val="22"/>
        </w:rPr>
        <w:t xml:space="preserve"> </w:t>
      </w:r>
      <w:proofErr w:type="spellStart"/>
      <w:r w:rsidRPr="006B5E35">
        <w:rPr>
          <w:color w:val="auto"/>
          <w:sz w:val="22"/>
          <w:szCs w:val="22"/>
        </w:rPr>
        <w:t>Publications</w:t>
      </w:r>
      <w:proofErr w:type="spellEnd"/>
      <w:r w:rsidRPr="006B5E35">
        <w:rPr>
          <w:color w:val="auto"/>
          <w:sz w:val="22"/>
          <w:szCs w:val="22"/>
        </w:rPr>
        <w:t xml:space="preserve">, </w:t>
      </w:r>
      <w:proofErr w:type="spellStart"/>
      <w:r w:rsidRPr="006B5E35">
        <w:rPr>
          <w:color w:val="auto"/>
          <w:sz w:val="22"/>
          <w:szCs w:val="22"/>
        </w:rPr>
        <w:t>European</w:t>
      </w:r>
      <w:proofErr w:type="spellEnd"/>
      <w:r w:rsidRPr="006B5E35">
        <w:rPr>
          <w:color w:val="auto"/>
          <w:sz w:val="22"/>
          <w:szCs w:val="22"/>
        </w:rPr>
        <w:t xml:space="preserve"> </w:t>
      </w:r>
      <w:proofErr w:type="spellStart"/>
      <w:r w:rsidRPr="006B5E35">
        <w:rPr>
          <w:color w:val="auto"/>
          <w:sz w:val="22"/>
          <w:szCs w:val="22"/>
        </w:rPr>
        <w:t>Series</w:t>
      </w:r>
      <w:proofErr w:type="spellEnd"/>
      <w:r w:rsidRPr="006B5E35">
        <w:rPr>
          <w:color w:val="auto"/>
          <w:sz w:val="22"/>
          <w:szCs w:val="22"/>
        </w:rPr>
        <w:t>, No. 91, WHO 2000</w:t>
      </w:r>
    </w:p>
    <w:p w14:paraId="4B6AD734" w14:textId="77777777" w:rsidR="00830024" w:rsidRPr="006B5E35" w:rsidRDefault="00830024" w:rsidP="00830024">
      <w:pPr>
        <w:pStyle w:val="Default"/>
        <w:numPr>
          <w:ilvl w:val="0"/>
          <w:numId w:val="24"/>
        </w:numPr>
        <w:spacing w:before="120"/>
        <w:jc w:val="both"/>
        <w:rPr>
          <w:rFonts w:ascii="Mulish" w:hAnsi="Mulish" w:cs="Times New Roman"/>
          <w:color w:val="auto"/>
          <w:sz w:val="22"/>
          <w:szCs w:val="22"/>
          <w:lang w:val="en-US"/>
        </w:rPr>
      </w:pPr>
      <w:r w:rsidRPr="006B5E35">
        <w:rPr>
          <w:rFonts w:ascii="Mulish" w:hAnsi="Mulish" w:cs="Times New Roman"/>
          <w:iCs/>
          <w:color w:val="auto"/>
          <w:sz w:val="22"/>
          <w:szCs w:val="22"/>
          <w:lang w:val="en-US"/>
        </w:rPr>
        <w:t xml:space="preserve">WHO Guidelines for indoor air quality: selected pollutants, WHO 2010 </w:t>
      </w:r>
    </w:p>
    <w:p w14:paraId="5CCEBB75" w14:textId="77777777" w:rsidR="00830024" w:rsidRPr="006B5E35" w:rsidRDefault="00830024" w:rsidP="00830024">
      <w:pPr>
        <w:pStyle w:val="Zkladntext"/>
        <w:numPr>
          <w:ilvl w:val="0"/>
          <w:numId w:val="24"/>
        </w:numPr>
        <w:spacing w:before="120"/>
        <w:jc w:val="both"/>
        <w:rPr>
          <w:rFonts w:ascii="Mulish" w:hAnsi="Mulish"/>
          <w:bCs/>
          <w:sz w:val="22"/>
          <w:szCs w:val="22"/>
          <w14:shadow w14:blurRad="0" w14:dist="0" w14:dir="0" w14:sx="0" w14:sy="0" w14:kx="0" w14:ky="0" w14:algn="none">
            <w14:srgbClr w14:val="000000"/>
          </w14:shadow>
        </w:rPr>
      </w:pPr>
      <w:r w:rsidRPr="006B5E35">
        <w:rPr>
          <w:rFonts w:ascii="Mulish" w:hAnsi="Mulish"/>
          <w:bCs/>
          <w:sz w:val="22"/>
          <w:szCs w:val="22"/>
          <w14:shadow w14:blurRad="0" w14:dist="0" w14:dir="0" w14:sx="0" w14:sy="0" w14:kx="0" w14:ky="0" w14:algn="none">
            <w14:srgbClr w14:val="000000"/>
          </w14:shadow>
        </w:rPr>
        <w:t>Holgate S.T.,Samet J.M.,Koren H.S.,Maynard R.L.: Air pollution and Health, Academic Pres, London, 1999</w:t>
      </w:r>
    </w:p>
    <w:p w14:paraId="01FA61FB" w14:textId="77777777" w:rsidR="00830024" w:rsidRPr="006B5E35" w:rsidRDefault="00830024" w:rsidP="00830024">
      <w:pPr>
        <w:pStyle w:val="Odstavecseseznamem"/>
        <w:numPr>
          <w:ilvl w:val="0"/>
          <w:numId w:val="24"/>
        </w:numPr>
        <w:autoSpaceDE w:val="0"/>
        <w:autoSpaceDN w:val="0"/>
        <w:adjustRightInd w:val="0"/>
        <w:spacing w:after="120" w:line="269" w:lineRule="auto"/>
        <w:jc w:val="both"/>
        <w:rPr>
          <w:rFonts w:ascii="Mulish" w:hAnsi="Mulish"/>
          <w:iCs/>
          <w:noProof w:val="0"/>
          <w:sz w:val="22"/>
          <w:szCs w:val="22"/>
          <w:lang w:val="en-US"/>
          <w14:shadow w14:blurRad="0" w14:dist="0" w14:dir="0" w14:sx="0" w14:sy="0" w14:kx="0" w14:ky="0" w14:algn="none">
            <w14:srgbClr w14:val="000000"/>
          </w14:shadow>
        </w:rPr>
      </w:pPr>
      <w:r w:rsidRPr="006B5E35">
        <w:rPr>
          <w:rFonts w:ascii="Mulish" w:hAnsi="Mulish"/>
          <w:iCs/>
          <w:noProof w:val="0"/>
          <w:sz w:val="22"/>
          <w:szCs w:val="22"/>
          <w:lang w:val="en-US"/>
          <w14:shadow w14:blurRad="0" w14:dist="0" w14:dir="0" w14:sx="0" w14:sy="0" w14:kx="0" w14:ky="0" w14:algn="none">
            <w14:srgbClr w14:val="000000"/>
          </w14:shadow>
        </w:rPr>
        <w:t>Framework for Human Health Risk Assessment to Inform Decision Making, U.S. Environmental Protection Agency, 2014</w:t>
      </w:r>
    </w:p>
    <w:p w14:paraId="7D8D91ED" w14:textId="77777777" w:rsidR="00830024" w:rsidRPr="006B5E35" w:rsidRDefault="00830024" w:rsidP="00830024">
      <w:pPr>
        <w:pStyle w:val="Zkladntext"/>
        <w:numPr>
          <w:ilvl w:val="0"/>
          <w:numId w:val="24"/>
        </w:numPr>
        <w:spacing w:before="120"/>
        <w:jc w:val="both"/>
        <w:rPr>
          <w:rFonts w:ascii="Mulish" w:hAnsi="Mulish"/>
          <w:bCs/>
          <w:sz w:val="22"/>
          <w:szCs w:val="22"/>
          <w14:shadow w14:blurRad="0" w14:dist="0" w14:dir="0" w14:sx="0" w14:sy="0" w14:kx="0" w14:ky="0" w14:algn="none">
            <w14:srgbClr w14:val="000000"/>
          </w14:shadow>
        </w:rPr>
      </w:pPr>
      <w:r w:rsidRPr="006B5E35">
        <w:rPr>
          <w:rFonts w:ascii="Mulish" w:hAnsi="Mulish"/>
          <w:bCs/>
          <w:sz w:val="22"/>
          <w:szCs w:val="22"/>
          <w14:shadow w14:blurRad="0" w14:dist="0" w14:dir="0" w14:sx="0" w14:sy="0" w14:kx="0" w14:ky="0" w14:algn="none">
            <w14:srgbClr w14:val="000000"/>
          </w14:shadow>
        </w:rPr>
        <w:t xml:space="preserve">Hurley F et al.: Methodology for the cost-benefit analysis for CAFE. Volume 2: Heath Impact Assessment, European Commission 2005 </w:t>
      </w:r>
    </w:p>
    <w:p w14:paraId="3B2436B3" w14:textId="77777777" w:rsidR="00830024" w:rsidRPr="006B5E35" w:rsidRDefault="00830024" w:rsidP="00830024">
      <w:pPr>
        <w:numPr>
          <w:ilvl w:val="0"/>
          <w:numId w:val="24"/>
        </w:numPr>
        <w:spacing w:before="60" w:line="240" w:lineRule="auto"/>
        <w:jc w:val="both"/>
        <w:textAlignment w:val="auto"/>
        <w:rPr>
          <w:color w:val="auto"/>
          <w:sz w:val="22"/>
          <w:szCs w:val="22"/>
          <w:lang w:val="en-US"/>
        </w:rPr>
      </w:pPr>
      <w:r w:rsidRPr="006B5E35">
        <w:rPr>
          <w:color w:val="auto"/>
          <w:sz w:val="22"/>
          <w:szCs w:val="22"/>
          <w:lang w:val="en-US"/>
        </w:rPr>
        <w:t>IARC Press Release N°221  17 October 2013: Outdoor air pollution a leading environmental cause of cancer deaths</w:t>
      </w:r>
    </w:p>
    <w:p w14:paraId="77533655" w14:textId="77777777" w:rsidR="00830024" w:rsidRPr="006B5E35" w:rsidRDefault="00830024" w:rsidP="00830024">
      <w:pPr>
        <w:pStyle w:val="Odstavecseseznamem"/>
        <w:numPr>
          <w:ilvl w:val="0"/>
          <w:numId w:val="24"/>
        </w:numPr>
        <w:spacing w:after="120" w:line="269" w:lineRule="auto"/>
        <w:jc w:val="both"/>
        <w:rPr>
          <w:rFonts w:ascii="Mulish" w:hAnsi="Mulish"/>
          <w:sz w:val="22"/>
          <w:szCs w:val="22"/>
          <w14:shadow w14:blurRad="0" w14:dist="0" w14:dir="0" w14:sx="0" w14:sy="0" w14:kx="0" w14:ky="0" w14:algn="none">
            <w14:srgbClr w14:val="000000"/>
          </w14:shadow>
        </w:rPr>
      </w:pPr>
      <w:r w:rsidRPr="006B5E35">
        <w:rPr>
          <w:rFonts w:ascii="Mulish" w:hAnsi="Mulish"/>
          <w:sz w:val="22"/>
          <w:szCs w:val="22"/>
          <w14:shadow w14:blurRad="0" w14:dist="0" w14:dir="0" w14:sx="0" w14:sy="0" w14:kx="0" w14:ky="0" w14:algn="none">
            <w14:srgbClr w14:val="000000"/>
          </w14:shadow>
        </w:rPr>
        <w:t>IARC. Air Pollution and Cancer. Scientific publication no. 161. WHO 2013, Geneva, Switzerland. ISBN 978-92-832-2166-1</w:t>
      </w:r>
    </w:p>
    <w:p w14:paraId="4E585BC1" w14:textId="77777777" w:rsidR="00830024" w:rsidRPr="006B5E35" w:rsidRDefault="00830024" w:rsidP="00830024">
      <w:pPr>
        <w:pStyle w:val="Odstavecseseznamem"/>
        <w:numPr>
          <w:ilvl w:val="0"/>
          <w:numId w:val="24"/>
        </w:numPr>
        <w:spacing w:after="120" w:line="269" w:lineRule="auto"/>
        <w:jc w:val="both"/>
        <w:rPr>
          <w:rFonts w:ascii="Mulish" w:hAnsi="Mulish"/>
          <w:sz w:val="22"/>
          <w:szCs w:val="22"/>
          <w14:shadow w14:blurRad="0" w14:dist="0" w14:dir="0" w14:sx="0" w14:sy="0" w14:kx="0" w14:ky="0" w14:algn="none">
            <w14:srgbClr w14:val="000000"/>
          </w14:shadow>
        </w:rPr>
      </w:pPr>
      <w:r w:rsidRPr="006B5E35">
        <w:rPr>
          <w:rFonts w:ascii="Mulish" w:hAnsi="Mulish"/>
          <w:sz w:val="22"/>
          <w:szCs w:val="22"/>
          <w14:shadow w14:blurRad="0" w14:dist="0" w14:dir="0" w14:sx="0" w14:sy="0" w14:kx="0" w14:ky="0" w14:algn="none">
            <w14:srgbClr w14:val="000000"/>
          </w14:shadow>
        </w:rPr>
        <w:t>Valavanidis, Athanasios; Vlachogianni, Thomais; Fiotakis, Konstantinos; Loridas, Spyridon: Pulmonary oxidative stress, inflammation and cancer: respirable particulate matter, fibrous dusts and ozone as major causes of lung carcinogenesis through reactive oxygen species mechanisms. International journal of environmental research and public health, 3886-907 (Aug 27, 2013)</w:t>
      </w:r>
    </w:p>
    <w:p w14:paraId="2EC4E523" w14:textId="49CF7F9E" w:rsidR="00830024" w:rsidRPr="006B5E35" w:rsidRDefault="00830024" w:rsidP="00830024">
      <w:pPr>
        <w:numPr>
          <w:ilvl w:val="0"/>
          <w:numId w:val="24"/>
        </w:numPr>
        <w:spacing w:before="120" w:line="240" w:lineRule="auto"/>
        <w:jc w:val="both"/>
        <w:textAlignment w:val="auto"/>
        <w:rPr>
          <w:color w:val="auto"/>
          <w:sz w:val="22"/>
          <w:szCs w:val="22"/>
        </w:rPr>
      </w:pPr>
      <w:proofErr w:type="spellStart"/>
      <w:r w:rsidRPr="006B5E35">
        <w:rPr>
          <w:color w:val="auto"/>
          <w:sz w:val="22"/>
          <w:szCs w:val="22"/>
        </w:rPr>
        <w:t>Bencko</w:t>
      </w:r>
      <w:proofErr w:type="spellEnd"/>
      <w:r w:rsidRPr="006B5E35">
        <w:rPr>
          <w:color w:val="auto"/>
          <w:sz w:val="22"/>
          <w:szCs w:val="22"/>
        </w:rPr>
        <w:t xml:space="preserve">, V., Cikrt, M., </w:t>
      </w:r>
      <w:proofErr w:type="spellStart"/>
      <w:r w:rsidRPr="006B5E35">
        <w:rPr>
          <w:color w:val="auto"/>
          <w:sz w:val="22"/>
          <w:szCs w:val="22"/>
        </w:rPr>
        <w:t>Lener</w:t>
      </w:r>
      <w:proofErr w:type="spellEnd"/>
      <w:r w:rsidRPr="006B5E35">
        <w:rPr>
          <w:color w:val="auto"/>
          <w:sz w:val="22"/>
          <w:szCs w:val="22"/>
        </w:rPr>
        <w:t xml:space="preserve">, J., Toxické kovy v životním a pracovním prostředí člověka, </w:t>
      </w:r>
      <w:proofErr w:type="spellStart"/>
      <w:r w:rsidRPr="006B5E35">
        <w:rPr>
          <w:color w:val="auto"/>
          <w:sz w:val="22"/>
          <w:szCs w:val="22"/>
        </w:rPr>
        <w:t>Grada</w:t>
      </w:r>
      <w:proofErr w:type="spellEnd"/>
      <w:r w:rsidRPr="006B5E35">
        <w:rPr>
          <w:color w:val="auto"/>
          <w:sz w:val="22"/>
          <w:szCs w:val="22"/>
        </w:rPr>
        <w:t xml:space="preserve"> </w:t>
      </w:r>
      <w:proofErr w:type="spellStart"/>
      <w:r w:rsidRPr="006B5E35">
        <w:rPr>
          <w:color w:val="auto"/>
          <w:sz w:val="22"/>
          <w:szCs w:val="22"/>
        </w:rPr>
        <w:t>Publishing</w:t>
      </w:r>
      <w:proofErr w:type="spellEnd"/>
      <w:r w:rsidRPr="006B5E35">
        <w:rPr>
          <w:color w:val="auto"/>
          <w:sz w:val="22"/>
          <w:szCs w:val="22"/>
        </w:rPr>
        <w:t>, Praha 1995</w:t>
      </w:r>
    </w:p>
    <w:p w14:paraId="52974A61" w14:textId="77777777" w:rsidR="00830024" w:rsidRPr="006B5E35" w:rsidRDefault="00830024" w:rsidP="00830024">
      <w:pPr>
        <w:numPr>
          <w:ilvl w:val="0"/>
          <w:numId w:val="24"/>
        </w:numPr>
        <w:spacing w:before="120" w:line="240" w:lineRule="auto"/>
        <w:jc w:val="both"/>
        <w:textAlignment w:val="auto"/>
        <w:rPr>
          <w:color w:val="auto"/>
          <w:sz w:val="22"/>
          <w:szCs w:val="22"/>
        </w:rPr>
      </w:pPr>
      <w:r w:rsidRPr="006B5E35">
        <w:rPr>
          <w:color w:val="auto"/>
          <w:sz w:val="22"/>
          <w:szCs w:val="22"/>
        </w:rPr>
        <w:t xml:space="preserve">RTECS R: Registry </w:t>
      </w:r>
      <w:proofErr w:type="spellStart"/>
      <w:r w:rsidRPr="006B5E35">
        <w:rPr>
          <w:color w:val="auto"/>
          <w:sz w:val="22"/>
          <w:szCs w:val="22"/>
        </w:rPr>
        <w:t>of</w:t>
      </w:r>
      <w:proofErr w:type="spellEnd"/>
      <w:r w:rsidRPr="006B5E35">
        <w:rPr>
          <w:color w:val="auto"/>
          <w:sz w:val="22"/>
          <w:szCs w:val="22"/>
        </w:rPr>
        <w:t xml:space="preserve"> </w:t>
      </w:r>
      <w:proofErr w:type="spellStart"/>
      <w:r w:rsidRPr="006B5E35">
        <w:rPr>
          <w:color w:val="auto"/>
          <w:sz w:val="22"/>
          <w:szCs w:val="22"/>
        </w:rPr>
        <w:t>Toxic</w:t>
      </w:r>
      <w:proofErr w:type="spellEnd"/>
      <w:r w:rsidRPr="006B5E35">
        <w:rPr>
          <w:color w:val="auto"/>
          <w:sz w:val="22"/>
          <w:szCs w:val="22"/>
        </w:rPr>
        <w:t xml:space="preserve"> </w:t>
      </w:r>
      <w:proofErr w:type="spellStart"/>
      <w:r w:rsidRPr="006B5E35">
        <w:rPr>
          <w:color w:val="auto"/>
          <w:sz w:val="22"/>
          <w:szCs w:val="22"/>
        </w:rPr>
        <w:t>Effects</w:t>
      </w:r>
      <w:proofErr w:type="spellEnd"/>
      <w:r w:rsidRPr="006B5E35">
        <w:rPr>
          <w:color w:val="auto"/>
          <w:sz w:val="22"/>
          <w:szCs w:val="22"/>
        </w:rPr>
        <w:t xml:space="preserve"> </w:t>
      </w:r>
      <w:proofErr w:type="spellStart"/>
      <w:r w:rsidRPr="006B5E35">
        <w:rPr>
          <w:color w:val="auto"/>
          <w:sz w:val="22"/>
          <w:szCs w:val="22"/>
        </w:rPr>
        <w:t>of</w:t>
      </w:r>
      <w:proofErr w:type="spellEnd"/>
      <w:r w:rsidRPr="006B5E35">
        <w:rPr>
          <w:color w:val="auto"/>
          <w:sz w:val="22"/>
          <w:szCs w:val="22"/>
        </w:rPr>
        <w:t xml:space="preserve"> </w:t>
      </w:r>
      <w:proofErr w:type="spellStart"/>
      <w:r w:rsidRPr="006B5E35">
        <w:rPr>
          <w:color w:val="auto"/>
          <w:sz w:val="22"/>
          <w:szCs w:val="22"/>
        </w:rPr>
        <w:t>Chemical</w:t>
      </w:r>
      <w:proofErr w:type="spellEnd"/>
      <w:r w:rsidRPr="006B5E35">
        <w:rPr>
          <w:color w:val="auto"/>
          <w:sz w:val="22"/>
          <w:szCs w:val="22"/>
        </w:rPr>
        <w:t xml:space="preserve"> </w:t>
      </w:r>
      <w:proofErr w:type="spellStart"/>
      <w:r w:rsidRPr="006B5E35">
        <w:rPr>
          <w:color w:val="auto"/>
          <w:sz w:val="22"/>
          <w:szCs w:val="22"/>
        </w:rPr>
        <w:t>Substances</w:t>
      </w:r>
      <w:proofErr w:type="spellEnd"/>
      <w:r w:rsidRPr="006B5E35">
        <w:rPr>
          <w:color w:val="auto"/>
          <w:sz w:val="22"/>
          <w:szCs w:val="22"/>
        </w:rPr>
        <w:t xml:space="preserve">. </w:t>
      </w:r>
      <w:proofErr w:type="spellStart"/>
      <w:r w:rsidRPr="006B5E35">
        <w:rPr>
          <w:color w:val="auto"/>
          <w:sz w:val="22"/>
          <w:szCs w:val="22"/>
        </w:rPr>
        <w:t>National</w:t>
      </w:r>
      <w:proofErr w:type="spellEnd"/>
      <w:r w:rsidRPr="006B5E35">
        <w:rPr>
          <w:color w:val="auto"/>
          <w:sz w:val="22"/>
          <w:szCs w:val="22"/>
        </w:rPr>
        <w:t xml:space="preserve"> Institute </w:t>
      </w:r>
      <w:proofErr w:type="spellStart"/>
      <w:r w:rsidRPr="006B5E35">
        <w:rPr>
          <w:color w:val="auto"/>
          <w:sz w:val="22"/>
          <w:szCs w:val="22"/>
        </w:rPr>
        <w:t>for</w:t>
      </w:r>
      <w:proofErr w:type="spellEnd"/>
      <w:r w:rsidRPr="006B5E35">
        <w:rPr>
          <w:color w:val="auto"/>
          <w:sz w:val="22"/>
          <w:szCs w:val="22"/>
        </w:rPr>
        <w:t xml:space="preserve"> </w:t>
      </w:r>
      <w:proofErr w:type="spellStart"/>
      <w:r w:rsidRPr="006B5E35">
        <w:rPr>
          <w:color w:val="auto"/>
          <w:sz w:val="22"/>
          <w:szCs w:val="22"/>
        </w:rPr>
        <w:t>Occupational</w:t>
      </w:r>
      <w:proofErr w:type="spellEnd"/>
      <w:r w:rsidRPr="006B5E35">
        <w:rPr>
          <w:color w:val="auto"/>
          <w:sz w:val="22"/>
          <w:szCs w:val="22"/>
        </w:rPr>
        <w:t xml:space="preserve"> </w:t>
      </w:r>
      <w:proofErr w:type="spellStart"/>
      <w:r w:rsidRPr="006B5E35">
        <w:rPr>
          <w:color w:val="auto"/>
          <w:sz w:val="22"/>
          <w:szCs w:val="22"/>
        </w:rPr>
        <w:t>Safety</w:t>
      </w:r>
      <w:proofErr w:type="spellEnd"/>
      <w:r w:rsidRPr="006B5E35">
        <w:rPr>
          <w:color w:val="auto"/>
          <w:sz w:val="22"/>
          <w:szCs w:val="22"/>
        </w:rPr>
        <w:t xml:space="preserve"> and </w:t>
      </w:r>
      <w:proofErr w:type="spellStart"/>
      <w:r w:rsidRPr="006B5E35">
        <w:rPr>
          <w:color w:val="auto"/>
          <w:sz w:val="22"/>
          <w:szCs w:val="22"/>
        </w:rPr>
        <w:t>Health</w:t>
      </w:r>
      <w:proofErr w:type="spellEnd"/>
      <w:r w:rsidRPr="006B5E35">
        <w:rPr>
          <w:color w:val="auto"/>
          <w:sz w:val="22"/>
          <w:szCs w:val="22"/>
        </w:rPr>
        <w:t xml:space="preserve">. CD-ROM. July 31, 2000. </w:t>
      </w:r>
      <w:proofErr w:type="spellStart"/>
      <w:r w:rsidRPr="006B5E35">
        <w:rPr>
          <w:color w:val="auto"/>
          <w:sz w:val="22"/>
          <w:szCs w:val="22"/>
        </w:rPr>
        <w:t>Englewood</w:t>
      </w:r>
      <w:proofErr w:type="spellEnd"/>
      <w:r w:rsidRPr="006B5E35">
        <w:rPr>
          <w:color w:val="auto"/>
          <w:sz w:val="22"/>
          <w:szCs w:val="22"/>
        </w:rPr>
        <w:t>, Colorado: MICROMEDEX 2000.</w:t>
      </w:r>
    </w:p>
    <w:p w14:paraId="110D3CD7" w14:textId="77777777" w:rsidR="00830024" w:rsidRPr="006B5E35" w:rsidRDefault="00830024" w:rsidP="00830024">
      <w:pPr>
        <w:numPr>
          <w:ilvl w:val="0"/>
          <w:numId w:val="24"/>
        </w:numPr>
        <w:spacing w:after="120" w:line="240" w:lineRule="auto"/>
        <w:ind w:left="357" w:hanging="357"/>
        <w:jc w:val="both"/>
        <w:textAlignment w:val="auto"/>
        <w:rPr>
          <w:color w:val="auto"/>
          <w:sz w:val="22"/>
          <w:szCs w:val="22"/>
        </w:rPr>
      </w:pPr>
      <w:r w:rsidRPr="006B5E35">
        <w:rPr>
          <w:color w:val="auto"/>
          <w:sz w:val="22"/>
          <w:szCs w:val="22"/>
        </w:rPr>
        <w:t xml:space="preserve">Risk </w:t>
      </w:r>
      <w:proofErr w:type="spellStart"/>
      <w:r w:rsidRPr="006B5E35">
        <w:rPr>
          <w:color w:val="auto"/>
          <w:sz w:val="22"/>
          <w:szCs w:val="22"/>
        </w:rPr>
        <w:t>assessment</w:t>
      </w:r>
      <w:proofErr w:type="spellEnd"/>
      <w:r w:rsidRPr="006B5E35">
        <w:rPr>
          <w:color w:val="auto"/>
          <w:sz w:val="22"/>
          <w:szCs w:val="22"/>
        </w:rPr>
        <w:t xml:space="preserve"> </w:t>
      </w:r>
      <w:proofErr w:type="spellStart"/>
      <w:r w:rsidRPr="006B5E35">
        <w:rPr>
          <w:color w:val="auto"/>
          <w:sz w:val="22"/>
          <w:szCs w:val="22"/>
        </w:rPr>
        <w:t>guidance</w:t>
      </w:r>
      <w:proofErr w:type="spellEnd"/>
      <w:r w:rsidRPr="006B5E35">
        <w:rPr>
          <w:color w:val="auto"/>
          <w:sz w:val="22"/>
          <w:szCs w:val="22"/>
        </w:rPr>
        <w:t xml:space="preserve"> </w:t>
      </w:r>
      <w:proofErr w:type="spellStart"/>
      <w:r w:rsidRPr="006B5E35">
        <w:rPr>
          <w:color w:val="auto"/>
          <w:sz w:val="22"/>
          <w:szCs w:val="22"/>
        </w:rPr>
        <w:t>for</w:t>
      </w:r>
      <w:proofErr w:type="spellEnd"/>
      <w:r w:rsidRPr="006B5E35">
        <w:rPr>
          <w:color w:val="auto"/>
          <w:sz w:val="22"/>
          <w:szCs w:val="22"/>
        </w:rPr>
        <w:t xml:space="preserve"> </w:t>
      </w:r>
      <w:proofErr w:type="spellStart"/>
      <w:r w:rsidRPr="006B5E35">
        <w:rPr>
          <w:color w:val="auto"/>
          <w:sz w:val="22"/>
          <w:szCs w:val="22"/>
        </w:rPr>
        <w:t>superfung</w:t>
      </w:r>
      <w:proofErr w:type="spellEnd"/>
      <w:r w:rsidRPr="006B5E35">
        <w:rPr>
          <w:color w:val="auto"/>
          <w:sz w:val="22"/>
          <w:szCs w:val="22"/>
        </w:rPr>
        <w:t xml:space="preserve"> Vol. I </w:t>
      </w:r>
      <w:proofErr w:type="spellStart"/>
      <w:r w:rsidRPr="006B5E35">
        <w:rPr>
          <w:color w:val="auto"/>
          <w:sz w:val="22"/>
          <w:szCs w:val="22"/>
        </w:rPr>
        <w:t>Human</w:t>
      </w:r>
      <w:proofErr w:type="spellEnd"/>
      <w:r w:rsidRPr="006B5E35">
        <w:rPr>
          <w:color w:val="auto"/>
          <w:sz w:val="22"/>
          <w:szCs w:val="22"/>
        </w:rPr>
        <w:t xml:space="preserve"> </w:t>
      </w:r>
      <w:proofErr w:type="spellStart"/>
      <w:r w:rsidRPr="006B5E35">
        <w:rPr>
          <w:color w:val="auto"/>
          <w:sz w:val="22"/>
          <w:szCs w:val="22"/>
        </w:rPr>
        <w:t>health</w:t>
      </w:r>
      <w:proofErr w:type="spellEnd"/>
      <w:r w:rsidRPr="006B5E35">
        <w:rPr>
          <w:color w:val="auto"/>
          <w:sz w:val="22"/>
          <w:szCs w:val="22"/>
        </w:rPr>
        <w:t xml:space="preserve"> </w:t>
      </w:r>
      <w:proofErr w:type="spellStart"/>
      <w:r w:rsidRPr="006B5E35">
        <w:rPr>
          <w:color w:val="auto"/>
          <w:sz w:val="22"/>
          <w:szCs w:val="22"/>
        </w:rPr>
        <w:t>evaluation</w:t>
      </w:r>
      <w:proofErr w:type="spellEnd"/>
      <w:r w:rsidRPr="006B5E35">
        <w:rPr>
          <w:color w:val="auto"/>
          <w:sz w:val="22"/>
          <w:szCs w:val="22"/>
        </w:rPr>
        <w:t xml:space="preserve"> </w:t>
      </w:r>
      <w:proofErr w:type="spellStart"/>
      <w:r w:rsidRPr="006B5E35">
        <w:rPr>
          <w:color w:val="auto"/>
          <w:sz w:val="22"/>
          <w:szCs w:val="22"/>
        </w:rPr>
        <w:t>Manual</w:t>
      </w:r>
      <w:proofErr w:type="spellEnd"/>
      <w:r w:rsidRPr="006B5E35">
        <w:rPr>
          <w:color w:val="auto"/>
          <w:sz w:val="22"/>
          <w:szCs w:val="22"/>
        </w:rPr>
        <w:t xml:space="preserve">, </w:t>
      </w:r>
      <w:proofErr w:type="spellStart"/>
      <w:r w:rsidRPr="006B5E35">
        <w:rPr>
          <w:color w:val="auto"/>
          <w:sz w:val="22"/>
          <w:szCs w:val="22"/>
        </w:rPr>
        <w:t>Us</w:t>
      </w:r>
      <w:proofErr w:type="spellEnd"/>
      <w:r w:rsidRPr="006B5E35">
        <w:rPr>
          <w:color w:val="auto"/>
          <w:sz w:val="22"/>
          <w:szCs w:val="22"/>
        </w:rPr>
        <w:t xml:space="preserve"> EPA/540/1-89/002, </w:t>
      </w:r>
      <w:proofErr w:type="spellStart"/>
      <w:r w:rsidRPr="006B5E35">
        <w:rPr>
          <w:color w:val="auto"/>
          <w:sz w:val="22"/>
          <w:szCs w:val="22"/>
        </w:rPr>
        <w:t>December</w:t>
      </w:r>
      <w:proofErr w:type="spellEnd"/>
      <w:r w:rsidRPr="006B5E35">
        <w:rPr>
          <w:color w:val="auto"/>
          <w:sz w:val="22"/>
          <w:szCs w:val="22"/>
        </w:rPr>
        <w:t xml:space="preserve"> 1989.</w:t>
      </w:r>
    </w:p>
    <w:p w14:paraId="43E3B02A" w14:textId="77777777" w:rsidR="00830024" w:rsidRPr="006B5E35" w:rsidRDefault="00830024" w:rsidP="00830024">
      <w:pPr>
        <w:pStyle w:val="Zkladntext21"/>
        <w:numPr>
          <w:ilvl w:val="0"/>
          <w:numId w:val="24"/>
        </w:numPr>
        <w:suppressAutoHyphens/>
        <w:spacing w:after="120"/>
        <w:ind w:left="357" w:hanging="357"/>
        <w:rPr>
          <w:rFonts w:ascii="Mulish" w:hAnsi="Mulish"/>
          <w:noProof/>
          <w:sz w:val="22"/>
          <w:szCs w:val="22"/>
        </w:rPr>
      </w:pPr>
      <w:r w:rsidRPr="006B5E35">
        <w:rPr>
          <w:rFonts w:ascii="Mulish" w:hAnsi="Mulish"/>
          <w:noProof/>
          <w:sz w:val="22"/>
          <w:szCs w:val="22"/>
        </w:rPr>
        <w:t>IPCS/WHO: Environmental Health Criteria No. 210, Principles for the assessment of risks to human health from exposure to chemicals, Geneva, 1999</w:t>
      </w:r>
    </w:p>
    <w:p w14:paraId="10EA0D9B" w14:textId="77777777" w:rsidR="00830024" w:rsidRPr="006B5E35" w:rsidRDefault="00830024" w:rsidP="00830024">
      <w:pPr>
        <w:numPr>
          <w:ilvl w:val="0"/>
          <w:numId w:val="24"/>
        </w:numPr>
        <w:spacing w:before="120" w:line="240" w:lineRule="auto"/>
        <w:jc w:val="both"/>
        <w:textAlignment w:val="auto"/>
        <w:rPr>
          <w:color w:val="auto"/>
          <w:sz w:val="22"/>
          <w:szCs w:val="22"/>
        </w:rPr>
      </w:pPr>
      <w:r w:rsidRPr="006B5E35">
        <w:rPr>
          <w:color w:val="auto"/>
          <w:sz w:val="22"/>
          <w:szCs w:val="22"/>
        </w:rPr>
        <w:t xml:space="preserve">Metodický pokyn odboru ekologických rizik a monitoringu MŽP ČR k hodnocení rizik </w:t>
      </w:r>
      <w:proofErr w:type="gramStart"/>
      <w:r w:rsidRPr="006B5E35">
        <w:rPr>
          <w:color w:val="auto"/>
          <w:sz w:val="22"/>
          <w:szCs w:val="22"/>
        </w:rPr>
        <w:t>č.j.</w:t>
      </w:r>
      <w:proofErr w:type="gramEnd"/>
      <w:r w:rsidRPr="006B5E35">
        <w:rPr>
          <w:color w:val="auto"/>
          <w:sz w:val="22"/>
          <w:szCs w:val="22"/>
        </w:rPr>
        <w:t xml:space="preserve"> 1138/OER/94</w:t>
      </w:r>
    </w:p>
    <w:p w14:paraId="7E18BEAF" w14:textId="77777777" w:rsidR="00830024" w:rsidRPr="006B5E35" w:rsidRDefault="00830024" w:rsidP="00830024">
      <w:pPr>
        <w:numPr>
          <w:ilvl w:val="0"/>
          <w:numId w:val="24"/>
        </w:numPr>
        <w:spacing w:before="120" w:line="240" w:lineRule="auto"/>
        <w:jc w:val="both"/>
        <w:textAlignment w:val="auto"/>
        <w:rPr>
          <w:color w:val="auto"/>
          <w:sz w:val="22"/>
          <w:szCs w:val="22"/>
        </w:rPr>
      </w:pPr>
      <w:r w:rsidRPr="006B5E35">
        <w:rPr>
          <w:color w:val="auto"/>
          <w:sz w:val="22"/>
          <w:szCs w:val="22"/>
        </w:rPr>
        <w:t>Manuál prevence v lékařské praxi díl VIII. Základy hodnocení zdravotních rizik, SZÚ Praha, 2000</w:t>
      </w:r>
    </w:p>
    <w:p w14:paraId="16583570" w14:textId="77777777" w:rsidR="00830024" w:rsidRPr="006B5E35" w:rsidRDefault="00830024" w:rsidP="00830024">
      <w:pPr>
        <w:numPr>
          <w:ilvl w:val="0"/>
          <w:numId w:val="24"/>
        </w:numPr>
        <w:spacing w:before="120" w:line="240" w:lineRule="auto"/>
        <w:jc w:val="both"/>
        <w:textAlignment w:val="auto"/>
        <w:rPr>
          <w:bCs/>
          <w:color w:val="auto"/>
          <w:sz w:val="22"/>
          <w:szCs w:val="22"/>
        </w:rPr>
      </w:pPr>
      <w:r w:rsidRPr="006B5E35">
        <w:rPr>
          <w:color w:val="auto"/>
          <w:sz w:val="22"/>
          <w:szCs w:val="22"/>
        </w:rPr>
        <w:t>MZ ČR: Zásady a postupy hodnocení a řízení zdravotních rizik v činnostech odboru hygieny obecné a komunální, HEM-300-19.9.05/31639, 2005</w:t>
      </w:r>
    </w:p>
    <w:p w14:paraId="5106D8E3" w14:textId="675BDA38" w:rsidR="00830024" w:rsidRPr="006B5E35" w:rsidRDefault="00830024" w:rsidP="00830024">
      <w:pPr>
        <w:numPr>
          <w:ilvl w:val="0"/>
          <w:numId w:val="24"/>
        </w:numPr>
        <w:spacing w:before="120" w:line="240" w:lineRule="auto"/>
        <w:jc w:val="both"/>
        <w:textAlignment w:val="auto"/>
        <w:rPr>
          <w:bCs/>
          <w:color w:val="auto"/>
          <w:sz w:val="22"/>
          <w:szCs w:val="22"/>
        </w:rPr>
      </w:pPr>
      <w:r w:rsidRPr="006B5E35">
        <w:rPr>
          <w:color w:val="auto"/>
          <w:sz w:val="22"/>
          <w:szCs w:val="22"/>
        </w:rPr>
        <w:t>AN 17/05 Autorizační návod k hodnocení zdravotního rizika expozice chemickým látkám ve venkovním ovzduší, SZÚ 2015, http://www.szu.cz/autorizace/autorizacni-navody-pro-hra [říjen 2021]</w:t>
      </w:r>
    </w:p>
    <w:p w14:paraId="0EBB5615" w14:textId="77777777" w:rsidR="00830024" w:rsidRPr="006B5E35" w:rsidRDefault="00830024" w:rsidP="00830024">
      <w:pPr>
        <w:numPr>
          <w:ilvl w:val="0"/>
          <w:numId w:val="24"/>
        </w:numPr>
        <w:spacing w:before="120" w:line="240" w:lineRule="auto"/>
        <w:jc w:val="both"/>
        <w:textAlignment w:val="auto"/>
        <w:rPr>
          <w:color w:val="auto"/>
          <w:sz w:val="22"/>
          <w:szCs w:val="22"/>
        </w:rPr>
      </w:pPr>
      <w:proofErr w:type="spellStart"/>
      <w:r w:rsidRPr="006B5E35">
        <w:rPr>
          <w:bCs/>
          <w:color w:val="auto"/>
          <w:sz w:val="22"/>
          <w:szCs w:val="22"/>
        </w:rPr>
        <w:lastRenderedPageBreak/>
        <w:t>Toxicological</w:t>
      </w:r>
      <w:proofErr w:type="spellEnd"/>
      <w:r w:rsidRPr="006B5E35">
        <w:rPr>
          <w:bCs/>
          <w:color w:val="auto"/>
          <w:sz w:val="22"/>
          <w:szCs w:val="22"/>
        </w:rPr>
        <w:t xml:space="preserve"> Profile </w:t>
      </w:r>
      <w:proofErr w:type="spellStart"/>
      <w:r w:rsidRPr="006B5E35">
        <w:rPr>
          <w:bCs/>
          <w:color w:val="auto"/>
          <w:sz w:val="22"/>
          <w:szCs w:val="22"/>
        </w:rPr>
        <w:t>for</w:t>
      </w:r>
      <w:proofErr w:type="spellEnd"/>
      <w:r w:rsidRPr="006B5E35">
        <w:rPr>
          <w:bCs/>
          <w:color w:val="auto"/>
          <w:sz w:val="22"/>
          <w:szCs w:val="22"/>
        </w:rPr>
        <w:t xml:space="preserve"> Benzene. </w:t>
      </w:r>
      <w:proofErr w:type="spellStart"/>
      <w:r w:rsidRPr="006B5E35">
        <w:rPr>
          <w:color w:val="auto"/>
          <w:sz w:val="22"/>
          <w:szCs w:val="22"/>
        </w:rPr>
        <w:t>Agency</w:t>
      </w:r>
      <w:proofErr w:type="spellEnd"/>
      <w:r w:rsidRPr="006B5E35">
        <w:rPr>
          <w:color w:val="auto"/>
          <w:sz w:val="22"/>
          <w:szCs w:val="22"/>
        </w:rPr>
        <w:t xml:space="preserve"> </w:t>
      </w:r>
      <w:proofErr w:type="spellStart"/>
      <w:r w:rsidRPr="006B5E35">
        <w:rPr>
          <w:color w:val="auto"/>
          <w:sz w:val="22"/>
          <w:szCs w:val="22"/>
        </w:rPr>
        <w:t>for</w:t>
      </w:r>
      <w:proofErr w:type="spellEnd"/>
      <w:r w:rsidRPr="006B5E35">
        <w:rPr>
          <w:color w:val="auto"/>
          <w:sz w:val="22"/>
          <w:szCs w:val="22"/>
        </w:rPr>
        <w:t xml:space="preserve"> </w:t>
      </w:r>
      <w:proofErr w:type="spellStart"/>
      <w:r w:rsidRPr="006B5E35">
        <w:rPr>
          <w:color w:val="auto"/>
          <w:sz w:val="22"/>
          <w:szCs w:val="22"/>
        </w:rPr>
        <w:t>Toxic</w:t>
      </w:r>
      <w:proofErr w:type="spellEnd"/>
      <w:r w:rsidRPr="006B5E35">
        <w:rPr>
          <w:color w:val="auto"/>
          <w:sz w:val="22"/>
          <w:szCs w:val="22"/>
        </w:rPr>
        <w:t xml:space="preserve"> </w:t>
      </w:r>
      <w:proofErr w:type="spellStart"/>
      <w:r w:rsidRPr="006B5E35">
        <w:rPr>
          <w:color w:val="auto"/>
          <w:sz w:val="22"/>
          <w:szCs w:val="22"/>
        </w:rPr>
        <w:t>Substances</w:t>
      </w:r>
      <w:proofErr w:type="spellEnd"/>
      <w:r w:rsidRPr="006B5E35">
        <w:rPr>
          <w:color w:val="auto"/>
          <w:sz w:val="22"/>
          <w:szCs w:val="22"/>
        </w:rPr>
        <w:t xml:space="preserve"> and </w:t>
      </w:r>
      <w:proofErr w:type="spellStart"/>
      <w:r w:rsidRPr="006B5E35">
        <w:rPr>
          <w:color w:val="auto"/>
          <w:sz w:val="22"/>
          <w:szCs w:val="22"/>
        </w:rPr>
        <w:t>Disease</w:t>
      </w:r>
      <w:proofErr w:type="spellEnd"/>
      <w:r w:rsidRPr="006B5E35">
        <w:rPr>
          <w:color w:val="auto"/>
          <w:sz w:val="22"/>
          <w:szCs w:val="22"/>
        </w:rPr>
        <w:t xml:space="preserve"> Registry, </w:t>
      </w:r>
      <w:proofErr w:type="spellStart"/>
      <w:r w:rsidRPr="006B5E35">
        <w:rPr>
          <w:color w:val="auto"/>
          <w:sz w:val="22"/>
          <w:szCs w:val="22"/>
        </w:rPr>
        <w:t>Division</w:t>
      </w:r>
      <w:proofErr w:type="spellEnd"/>
      <w:r w:rsidRPr="006B5E35">
        <w:rPr>
          <w:color w:val="auto"/>
          <w:sz w:val="22"/>
          <w:szCs w:val="22"/>
        </w:rPr>
        <w:t xml:space="preserve"> </w:t>
      </w:r>
      <w:proofErr w:type="spellStart"/>
      <w:r w:rsidRPr="006B5E35">
        <w:rPr>
          <w:color w:val="auto"/>
          <w:sz w:val="22"/>
          <w:szCs w:val="22"/>
        </w:rPr>
        <w:t>of</w:t>
      </w:r>
      <w:proofErr w:type="spellEnd"/>
      <w:r w:rsidRPr="006B5E35">
        <w:rPr>
          <w:color w:val="auto"/>
          <w:sz w:val="22"/>
          <w:szCs w:val="22"/>
        </w:rPr>
        <w:t xml:space="preserve"> </w:t>
      </w:r>
      <w:proofErr w:type="spellStart"/>
      <w:r w:rsidRPr="006B5E35">
        <w:rPr>
          <w:color w:val="auto"/>
          <w:sz w:val="22"/>
          <w:szCs w:val="22"/>
        </w:rPr>
        <w:t>Toxicology</w:t>
      </w:r>
      <w:proofErr w:type="spellEnd"/>
      <w:r w:rsidRPr="006B5E35">
        <w:rPr>
          <w:color w:val="auto"/>
          <w:sz w:val="22"/>
          <w:szCs w:val="22"/>
        </w:rPr>
        <w:t xml:space="preserve"> and </w:t>
      </w:r>
      <w:proofErr w:type="spellStart"/>
      <w:r w:rsidRPr="006B5E35">
        <w:rPr>
          <w:color w:val="auto"/>
          <w:sz w:val="22"/>
          <w:szCs w:val="22"/>
        </w:rPr>
        <w:t>Environmental</w:t>
      </w:r>
      <w:proofErr w:type="spellEnd"/>
      <w:r w:rsidRPr="006B5E35">
        <w:rPr>
          <w:color w:val="auto"/>
          <w:sz w:val="22"/>
          <w:szCs w:val="22"/>
        </w:rPr>
        <w:t xml:space="preserve"> </w:t>
      </w:r>
      <w:proofErr w:type="spellStart"/>
      <w:r w:rsidRPr="006B5E35">
        <w:rPr>
          <w:color w:val="auto"/>
          <w:sz w:val="22"/>
          <w:szCs w:val="22"/>
        </w:rPr>
        <w:t>Medicine</w:t>
      </w:r>
      <w:proofErr w:type="spellEnd"/>
      <w:r w:rsidRPr="006B5E35">
        <w:rPr>
          <w:color w:val="auto"/>
          <w:sz w:val="22"/>
          <w:szCs w:val="22"/>
        </w:rPr>
        <w:t>/</w:t>
      </w:r>
      <w:r w:rsidRPr="006B5E35">
        <w:rPr>
          <w:bCs/>
          <w:color w:val="auto"/>
          <w:sz w:val="22"/>
          <w:szCs w:val="22"/>
        </w:rPr>
        <w:t xml:space="preserve"> ATSDR, 2007</w:t>
      </w:r>
    </w:p>
    <w:p w14:paraId="43E22065" w14:textId="77777777" w:rsidR="00830024" w:rsidRPr="006B5E35" w:rsidRDefault="00830024" w:rsidP="00830024">
      <w:pPr>
        <w:numPr>
          <w:ilvl w:val="0"/>
          <w:numId w:val="24"/>
        </w:numPr>
        <w:spacing w:before="120" w:line="240" w:lineRule="auto"/>
        <w:jc w:val="both"/>
        <w:textAlignment w:val="auto"/>
        <w:rPr>
          <w:color w:val="auto"/>
          <w:sz w:val="22"/>
          <w:szCs w:val="22"/>
        </w:rPr>
      </w:pPr>
      <w:r w:rsidRPr="006B5E35">
        <w:rPr>
          <w:bCs/>
          <w:color w:val="auto"/>
          <w:sz w:val="22"/>
          <w:szCs w:val="22"/>
        </w:rPr>
        <w:t xml:space="preserve">Addendum to </w:t>
      </w:r>
      <w:proofErr w:type="spellStart"/>
      <w:r w:rsidRPr="006B5E35">
        <w:rPr>
          <w:bCs/>
          <w:color w:val="auto"/>
          <w:sz w:val="22"/>
          <w:szCs w:val="22"/>
        </w:rPr>
        <w:t>the</w:t>
      </w:r>
      <w:proofErr w:type="spellEnd"/>
      <w:r w:rsidRPr="006B5E35">
        <w:rPr>
          <w:bCs/>
          <w:color w:val="auto"/>
          <w:sz w:val="22"/>
          <w:szCs w:val="22"/>
        </w:rPr>
        <w:t xml:space="preserve"> </w:t>
      </w:r>
      <w:proofErr w:type="spellStart"/>
      <w:r w:rsidRPr="006B5E35">
        <w:rPr>
          <w:bCs/>
          <w:color w:val="auto"/>
          <w:sz w:val="22"/>
          <w:szCs w:val="22"/>
        </w:rPr>
        <w:t>Toxicological</w:t>
      </w:r>
      <w:proofErr w:type="spellEnd"/>
      <w:r w:rsidRPr="006B5E35">
        <w:rPr>
          <w:bCs/>
          <w:color w:val="auto"/>
          <w:sz w:val="22"/>
          <w:szCs w:val="22"/>
        </w:rPr>
        <w:t xml:space="preserve"> Profile </w:t>
      </w:r>
      <w:proofErr w:type="spellStart"/>
      <w:r w:rsidRPr="006B5E35">
        <w:rPr>
          <w:bCs/>
          <w:color w:val="auto"/>
          <w:sz w:val="22"/>
          <w:szCs w:val="22"/>
        </w:rPr>
        <w:t>for</w:t>
      </w:r>
      <w:proofErr w:type="spellEnd"/>
      <w:r w:rsidRPr="006B5E35">
        <w:rPr>
          <w:bCs/>
          <w:color w:val="auto"/>
          <w:sz w:val="22"/>
          <w:szCs w:val="22"/>
        </w:rPr>
        <w:t xml:space="preserve"> Benzene. </w:t>
      </w:r>
      <w:proofErr w:type="spellStart"/>
      <w:r w:rsidRPr="006B5E35">
        <w:rPr>
          <w:color w:val="auto"/>
          <w:sz w:val="22"/>
          <w:szCs w:val="22"/>
        </w:rPr>
        <w:t>Agency</w:t>
      </w:r>
      <w:proofErr w:type="spellEnd"/>
      <w:r w:rsidRPr="006B5E35">
        <w:rPr>
          <w:color w:val="auto"/>
          <w:sz w:val="22"/>
          <w:szCs w:val="22"/>
        </w:rPr>
        <w:t xml:space="preserve"> </w:t>
      </w:r>
      <w:proofErr w:type="spellStart"/>
      <w:r w:rsidRPr="006B5E35">
        <w:rPr>
          <w:color w:val="auto"/>
          <w:sz w:val="22"/>
          <w:szCs w:val="22"/>
        </w:rPr>
        <w:t>for</w:t>
      </w:r>
      <w:proofErr w:type="spellEnd"/>
      <w:r w:rsidRPr="006B5E35">
        <w:rPr>
          <w:color w:val="auto"/>
          <w:sz w:val="22"/>
          <w:szCs w:val="22"/>
        </w:rPr>
        <w:t xml:space="preserve"> </w:t>
      </w:r>
      <w:proofErr w:type="spellStart"/>
      <w:r w:rsidRPr="006B5E35">
        <w:rPr>
          <w:color w:val="auto"/>
          <w:sz w:val="22"/>
          <w:szCs w:val="22"/>
        </w:rPr>
        <w:t>Toxic</w:t>
      </w:r>
      <w:proofErr w:type="spellEnd"/>
      <w:r w:rsidRPr="006B5E35">
        <w:rPr>
          <w:color w:val="auto"/>
          <w:sz w:val="22"/>
          <w:szCs w:val="22"/>
        </w:rPr>
        <w:t xml:space="preserve"> </w:t>
      </w:r>
      <w:proofErr w:type="spellStart"/>
      <w:r w:rsidRPr="006B5E35">
        <w:rPr>
          <w:color w:val="auto"/>
          <w:sz w:val="22"/>
          <w:szCs w:val="22"/>
        </w:rPr>
        <w:t>Substances</w:t>
      </w:r>
      <w:proofErr w:type="spellEnd"/>
      <w:r w:rsidRPr="006B5E35">
        <w:rPr>
          <w:color w:val="auto"/>
          <w:sz w:val="22"/>
          <w:szCs w:val="22"/>
        </w:rPr>
        <w:t xml:space="preserve"> and </w:t>
      </w:r>
      <w:proofErr w:type="spellStart"/>
      <w:r w:rsidRPr="006B5E35">
        <w:rPr>
          <w:color w:val="auto"/>
          <w:sz w:val="22"/>
          <w:szCs w:val="22"/>
        </w:rPr>
        <w:t>Disease</w:t>
      </w:r>
      <w:proofErr w:type="spellEnd"/>
      <w:r w:rsidRPr="006B5E35">
        <w:rPr>
          <w:color w:val="auto"/>
          <w:sz w:val="22"/>
          <w:szCs w:val="22"/>
        </w:rPr>
        <w:t xml:space="preserve"> Registry, </w:t>
      </w:r>
      <w:proofErr w:type="spellStart"/>
      <w:r w:rsidRPr="006B5E35">
        <w:rPr>
          <w:color w:val="auto"/>
          <w:sz w:val="22"/>
          <w:szCs w:val="22"/>
        </w:rPr>
        <w:t>Division</w:t>
      </w:r>
      <w:proofErr w:type="spellEnd"/>
      <w:r w:rsidRPr="006B5E35">
        <w:rPr>
          <w:color w:val="auto"/>
          <w:sz w:val="22"/>
          <w:szCs w:val="22"/>
        </w:rPr>
        <w:t xml:space="preserve"> </w:t>
      </w:r>
      <w:proofErr w:type="spellStart"/>
      <w:r w:rsidRPr="006B5E35">
        <w:rPr>
          <w:color w:val="auto"/>
          <w:sz w:val="22"/>
          <w:szCs w:val="22"/>
        </w:rPr>
        <w:t>of</w:t>
      </w:r>
      <w:proofErr w:type="spellEnd"/>
      <w:r w:rsidRPr="006B5E35">
        <w:rPr>
          <w:color w:val="auto"/>
          <w:sz w:val="22"/>
          <w:szCs w:val="22"/>
        </w:rPr>
        <w:t xml:space="preserve"> </w:t>
      </w:r>
      <w:proofErr w:type="spellStart"/>
      <w:r w:rsidRPr="006B5E35">
        <w:rPr>
          <w:color w:val="auto"/>
          <w:sz w:val="22"/>
          <w:szCs w:val="22"/>
        </w:rPr>
        <w:t>Toxicology</w:t>
      </w:r>
      <w:proofErr w:type="spellEnd"/>
      <w:r w:rsidRPr="006B5E35">
        <w:rPr>
          <w:color w:val="auto"/>
          <w:sz w:val="22"/>
          <w:szCs w:val="22"/>
        </w:rPr>
        <w:t xml:space="preserve"> and </w:t>
      </w:r>
      <w:proofErr w:type="spellStart"/>
      <w:r w:rsidRPr="006B5E35">
        <w:rPr>
          <w:color w:val="auto"/>
          <w:sz w:val="22"/>
          <w:szCs w:val="22"/>
        </w:rPr>
        <w:t>Environmental</w:t>
      </w:r>
      <w:proofErr w:type="spellEnd"/>
      <w:r w:rsidRPr="006B5E35">
        <w:rPr>
          <w:color w:val="auto"/>
          <w:sz w:val="22"/>
          <w:szCs w:val="22"/>
        </w:rPr>
        <w:t xml:space="preserve"> </w:t>
      </w:r>
      <w:proofErr w:type="spellStart"/>
      <w:r w:rsidRPr="006B5E35">
        <w:rPr>
          <w:color w:val="auto"/>
          <w:sz w:val="22"/>
          <w:szCs w:val="22"/>
        </w:rPr>
        <w:t>Medicine</w:t>
      </w:r>
      <w:proofErr w:type="spellEnd"/>
      <w:r w:rsidRPr="006B5E35">
        <w:rPr>
          <w:color w:val="auto"/>
          <w:sz w:val="22"/>
          <w:szCs w:val="22"/>
        </w:rPr>
        <w:t>.</w:t>
      </w:r>
      <w:r w:rsidRPr="006B5E35">
        <w:rPr>
          <w:bCs/>
          <w:color w:val="auto"/>
          <w:sz w:val="22"/>
          <w:szCs w:val="22"/>
        </w:rPr>
        <w:t xml:space="preserve"> ATSDR 2015</w:t>
      </w:r>
    </w:p>
    <w:p w14:paraId="5501A871" w14:textId="385FB21B" w:rsidR="00830024" w:rsidRPr="006B5E35" w:rsidRDefault="00830024" w:rsidP="00830024">
      <w:pPr>
        <w:numPr>
          <w:ilvl w:val="0"/>
          <w:numId w:val="24"/>
        </w:numPr>
        <w:spacing w:before="120" w:line="240" w:lineRule="auto"/>
        <w:jc w:val="both"/>
        <w:textAlignment w:val="auto"/>
        <w:rPr>
          <w:color w:val="auto"/>
          <w:sz w:val="22"/>
          <w:szCs w:val="22"/>
        </w:rPr>
      </w:pPr>
      <w:proofErr w:type="gramStart"/>
      <w:r w:rsidRPr="006B5E35">
        <w:rPr>
          <w:color w:val="auto"/>
          <w:sz w:val="22"/>
          <w:szCs w:val="22"/>
        </w:rPr>
        <w:t>U.S.</w:t>
      </w:r>
      <w:proofErr w:type="gramEnd"/>
      <w:r w:rsidR="006B5E35">
        <w:rPr>
          <w:color w:val="auto"/>
          <w:sz w:val="22"/>
          <w:szCs w:val="22"/>
        </w:rPr>
        <w:t xml:space="preserve"> </w:t>
      </w:r>
      <w:r w:rsidRPr="006B5E35">
        <w:rPr>
          <w:color w:val="auto"/>
          <w:sz w:val="22"/>
          <w:szCs w:val="22"/>
        </w:rPr>
        <w:t xml:space="preserve">EPA: </w:t>
      </w:r>
      <w:proofErr w:type="spellStart"/>
      <w:r w:rsidRPr="006B5E35">
        <w:rPr>
          <w:color w:val="auto"/>
          <w:sz w:val="22"/>
          <w:szCs w:val="22"/>
        </w:rPr>
        <w:t>Integrated</w:t>
      </w:r>
      <w:proofErr w:type="spellEnd"/>
      <w:r w:rsidRPr="006B5E35">
        <w:rPr>
          <w:color w:val="auto"/>
          <w:sz w:val="22"/>
          <w:szCs w:val="22"/>
        </w:rPr>
        <w:t xml:space="preserve"> Risk </w:t>
      </w:r>
      <w:proofErr w:type="spellStart"/>
      <w:r w:rsidRPr="006B5E35">
        <w:rPr>
          <w:color w:val="auto"/>
          <w:sz w:val="22"/>
          <w:szCs w:val="22"/>
        </w:rPr>
        <w:t>Information</w:t>
      </w:r>
      <w:proofErr w:type="spellEnd"/>
      <w:r w:rsidRPr="006B5E35">
        <w:rPr>
          <w:color w:val="auto"/>
          <w:sz w:val="22"/>
          <w:szCs w:val="22"/>
        </w:rPr>
        <w:t xml:space="preserve"> </w:t>
      </w:r>
      <w:proofErr w:type="spellStart"/>
      <w:r w:rsidRPr="006B5E35">
        <w:rPr>
          <w:color w:val="auto"/>
          <w:sz w:val="22"/>
          <w:szCs w:val="22"/>
        </w:rPr>
        <w:t>System</w:t>
      </w:r>
      <w:proofErr w:type="spellEnd"/>
      <w:r w:rsidRPr="006B5E35">
        <w:rPr>
          <w:color w:val="auto"/>
          <w:sz w:val="22"/>
          <w:szCs w:val="22"/>
        </w:rPr>
        <w:t xml:space="preserve">, Office </w:t>
      </w:r>
      <w:proofErr w:type="spellStart"/>
      <w:r w:rsidRPr="006B5E35">
        <w:rPr>
          <w:color w:val="auto"/>
          <w:sz w:val="22"/>
          <w:szCs w:val="22"/>
        </w:rPr>
        <w:t>of</w:t>
      </w:r>
      <w:proofErr w:type="spellEnd"/>
      <w:r w:rsidRPr="006B5E35">
        <w:rPr>
          <w:color w:val="auto"/>
          <w:sz w:val="22"/>
          <w:szCs w:val="22"/>
        </w:rPr>
        <w:t xml:space="preserve"> </w:t>
      </w:r>
      <w:proofErr w:type="spellStart"/>
      <w:r w:rsidRPr="006B5E35">
        <w:rPr>
          <w:color w:val="auto"/>
          <w:sz w:val="22"/>
          <w:szCs w:val="22"/>
        </w:rPr>
        <w:t>Research</w:t>
      </w:r>
      <w:proofErr w:type="spellEnd"/>
      <w:r w:rsidRPr="006B5E35">
        <w:rPr>
          <w:color w:val="auto"/>
          <w:sz w:val="22"/>
          <w:szCs w:val="22"/>
        </w:rPr>
        <w:t xml:space="preserve"> and </w:t>
      </w:r>
      <w:proofErr w:type="spellStart"/>
      <w:r w:rsidRPr="006B5E35">
        <w:rPr>
          <w:color w:val="auto"/>
          <w:sz w:val="22"/>
          <w:szCs w:val="22"/>
        </w:rPr>
        <w:t>Development</w:t>
      </w:r>
      <w:proofErr w:type="spellEnd"/>
      <w:r w:rsidRPr="006B5E35">
        <w:rPr>
          <w:color w:val="auto"/>
          <w:sz w:val="22"/>
          <w:szCs w:val="22"/>
        </w:rPr>
        <w:t xml:space="preserve">, </w:t>
      </w:r>
      <w:proofErr w:type="spellStart"/>
      <w:r w:rsidRPr="006B5E35">
        <w:rPr>
          <w:color w:val="auto"/>
          <w:sz w:val="22"/>
          <w:szCs w:val="22"/>
        </w:rPr>
        <w:t>National</w:t>
      </w:r>
      <w:proofErr w:type="spellEnd"/>
      <w:r w:rsidRPr="006B5E35">
        <w:rPr>
          <w:color w:val="auto"/>
          <w:sz w:val="22"/>
          <w:szCs w:val="22"/>
        </w:rPr>
        <w:t xml:space="preserve"> Center </w:t>
      </w:r>
      <w:proofErr w:type="spellStart"/>
      <w:r w:rsidRPr="006B5E35">
        <w:rPr>
          <w:color w:val="auto"/>
          <w:sz w:val="22"/>
          <w:szCs w:val="22"/>
        </w:rPr>
        <w:t>for</w:t>
      </w:r>
      <w:proofErr w:type="spellEnd"/>
      <w:r w:rsidRPr="006B5E35">
        <w:rPr>
          <w:color w:val="auto"/>
          <w:sz w:val="22"/>
          <w:szCs w:val="22"/>
        </w:rPr>
        <w:t xml:space="preserve"> </w:t>
      </w:r>
      <w:proofErr w:type="spellStart"/>
      <w:r w:rsidRPr="006B5E35">
        <w:rPr>
          <w:color w:val="auto"/>
          <w:sz w:val="22"/>
          <w:szCs w:val="22"/>
        </w:rPr>
        <w:t>Enviromental</w:t>
      </w:r>
      <w:proofErr w:type="spellEnd"/>
      <w:r w:rsidRPr="006B5E35">
        <w:rPr>
          <w:color w:val="auto"/>
          <w:sz w:val="22"/>
          <w:szCs w:val="22"/>
        </w:rPr>
        <w:t xml:space="preserve"> </w:t>
      </w:r>
      <w:proofErr w:type="spellStart"/>
      <w:r w:rsidRPr="006B5E35">
        <w:rPr>
          <w:color w:val="auto"/>
          <w:sz w:val="22"/>
          <w:szCs w:val="22"/>
        </w:rPr>
        <w:t>Assessment</w:t>
      </w:r>
      <w:proofErr w:type="spellEnd"/>
      <w:r w:rsidRPr="006B5E35">
        <w:rPr>
          <w:color w:val="auto"/>
          <w:sz w:val="22"/>
          <w:szCs w:val="22"/>
        </w:rPr>
        <w:t>, http://www.epa.gov/iris/</w:t>
      </w:r>
      <w:r w:rsidRPr="006B5E35">
        <w:rPr>
          <w:rStyle w:val="Hypertextovodkaz"/>
          <w:color w:val="auto"/>
          <w:sz w:val="22"/>
          <w:szCs w:val="22"/>
        </w:rPr>
        <w:t xml:space="preserve"> </w:t>
      </w:r>
      <w:r w:rsidRPr="006B5E35">
        <w:rPr>
          <w:color w:val="auto"/>
          <w:sz w:val="22"/>
          <w:szCs w:val="22"/>
        </w:rPr>
        <w:t>[říjen 2016]</w:t>
      </w:r>
    </w:p>
    <w:p w14:paraId="3BA7EA84" w14:textId="77777777" w:rsidR="00830024" w:rsidRPr="006B5E35" w:rsidRDefault="00830024" w:rsidP="00830024">
      <w:pPr>
        <w:numPr>
          <w:ilvl w:val="0"/>
          <w:numId w:val="24"/>
        </w:numPr>
        <w:spacing w:before="120" w:line="240" w:lineRule="auto"/>
        <w:jc w:val="both"/>
        <w:textAlignment w:val="auto"/>
        <w:rPr>
          <w:color w:val="auto"/>
          <w:sz w:val="22"/>
          <w:szCs w:val="22"/>
        </w:rPr>
      </w:pPr>
      <w:proofErr w:type="spellStart"/>
      <w:r w:rsidRPr="006B5E35">
        <w:rPr>
          <w:color w:val="auto"/>
          <w:sz w:val="22"/>
          <w:szCs w:val="22"/>
        </w:rPr>
        <w:t>Health</w:t>
      </w:r>
      <w:proofErr w:type="spellEnd"/>
      <w:r w:rsidRPr="006B5E35">
        <w:rPr>
          <w:color w:val="auto"/>
          <w:sz w:val="22"/>
          <w:szCs w:val="22"/>
        </w:rPr>
        <w:t xml:space="preserve"> </w:t>
      </w:r>
      <w:proofErr w:type="spellStart"/>
      <w:r w:rsidRPr="006B5E35">
        <w:rPr>
          <w:color w:val="auto"/>
          <w:sz w:val="22"/>
          <w:szCs w:val="22"/>
        </w:rPr>
        <w:t>risks</w:t>
      </w:r>
      <w:proofErr w:type="spellEnd"/>
      <w:r w:rsidRPr="006B5E35">
        <w:rPr>
          <w:color w:val="auto"/>
          <w:sz w:val="22"/>
          <w:szCs w:val="22"/>
        </w:rPr>
        <w:t xml:space="preserve"> </w:t>
      </w:r>
      <w:proofErr w:type="spellStart"/>
      <w:r w:rsidRPr="006B5E35">
        <w:rPr>
          <w:color w:val="auto"/>
          <w:sz w:val="22"/>
          <w:szCs w:val="22"/>
        </w:rPr>
        <w:t>of</w:t>
      </w:r>
      <w:proofErr w:type="spellEnd"/>
      <w:r w:rsidRPr="006B5E35">
        <w:rPr>
          <w:color w:val="auto"/>
          <w:sz w:val="22"/>
          <w:szCs w:val="22"/>
        </w:rPr>
        <w:t xml:space="preserve"> air </w:t>
      </w:r>
      <w:proofErr w:type="spellStart"/>
      <w:r w:rsidRPr="006B5E35">
        <w:rPr>
          <w:color w:val="auto"/>
          <w:sz w:val="22"/>
          <w:szCs w:val="22"/>
        </w:rPr>
        <w:t>pollution</w:t>
      </w:r>
      <w:proofErr w:type="spellEnd"/>
      <w:r w:rsidRPr="006B5E35">
        <w:rPr>
          <w:color w:val="auto"/>
          <w:sz w:val="22"/>
          <w:szCs w:val="22"/>
        </w:rPr>
        <w:t xml:space="preserve"> in </w:t>
      </w:r>
      <w:proofErr w:type="spellStart"/>
      <w:r w:rsidRPr="006B5E35">
        <w:rPr>
          <w:color w:val="auto"/>
          <w:sz w:val="22"/>
          <w:szCs w:val="22"/>
        </w:rPr>
        <w:t>Europe</w:t>
      </w:r>
      <w:proofErr w:type="spellEnd"/>
      <w:r w:rsidRPr="006B5E35">
        <w:rPr>
          <w:color w:val="auto"/>
          <w:sz w:val="22"/>
          <w:szCs w:val="22"/>
        </w:rPr>
        <w:t xml:space="preserve"> – HRAPIE </w:t>
      </w:r>
      <w:proofErr w:type="spellStart"/>
      <w:r w:rsidRPr="006B5E35">
        <w:rPr>
          <w:color w:val="auto"/>
          <w:sz w:val="22"/>
          <w:szCs w:val="22"/>
        </w:rPr>
        <w:t>project</w:t>
      </w:r>
      <w:proofErr w:type="spellEnd"/>
      <w:r w:rsidRPr="006B5E35">
        <w:rPr>
          <w:color w:val="auto"/>
          <w:sz w:val="22"/>
          <w:szCs w:val="22"/>
        </w:rPr>
        <w:t xml:space="preserve"> (</w:t>
      </w:r>
      <w:proofErr w:type="spellStart"/>
      <w:r w:rsidRPr="006B5E35">
        <w:rPr>
          <w:color w:val="auto"/>
          <w:sz w:val="22"/>
          <w:szCs w:val="22"/>
        </w:rPr>
        <w:t>Recommendations</w:t>
      </w:r>
      <w:proofErr w:type="spellEnd"/>
      <w:r w:rsidRPr="006B5E35">
        <w:rPr>
          <w:color w:val="auto"/>
          <w:sz w:val="22"/>
          <w:szCs w:val="22"/>
        </w:rPr>
        <w:t xml:space="preserve"> </w:t>
      </w:r>
      <w:proofErr w:type="spellStart"/>
      <w:r w:rsidRPr="006B5E35">
        <w:rPr>
          <w:color w:val="auto"/>
          <w:sz w:val="22"/>
          <w:szCs w:val="22"/>
        </w:rPr>
        <w:t>for</w:t>
      </w:r>
      <w:proofErr w:type="spellEnd"/>
      <w:r w:rsidRPr="006B5E35">
        <w:rPr>
          <w:color w:val="auto"/>
          <w:sz w:val="22"/>
          <w:szCs w:val="22"/>
        </w:rPr>
        <w:t xml:space="preserve"> </w:t>
      </w:r>
      <w:proofErr w:type="spellStart"/>
      <w:proofErr w:type="gramStart"/>
      <w:r w:rsidRPr="006B5E35">
        <w:rPr>
          <w:color w:val="auto"/>
          <w:sz w:val="22"/>
          <w:szCs w:val="22"/>
        </w:rPr>
        <w:t>concentration</w:t>
      </w:r>
      <w:proofErr w:type="spellEnd"/>
      <w:proofErr w:type="gramEnd"/>
      <w:r w:rsidRPr="006B5E35">
        <w:rPr>
          <w:color w:val="auto"/>
          <w:sz w:val="22"/>
          <w:szCs w:val="22"/>
        </w:rPr>
        <w:t>–</w:t>
      </w:r>
      <w:proofErr w:type="gramStart"/>
      <w:r w:rsidRPr="006B5E35">
        <w:rPr>
          <w:color w:val="auto"/>
          <w:sz w:val="22"/>
          <w:szCs w:val="22"/>
        </w:rPr>
        <w:t>response</w:t>
      </w:r>
      <w:proofErr w:type="gramEnd"/>
      <w:r w:rsidRPr="006B5E35">
        <w:rPr>
          <w:color w:val="auto"/>
          <w:sz w:val="22"/>
          <w:szCs w:val="22"/>
        </w:rPr>
        <w:t xml:space="preserve"> </w:t>
      </w:r>
      <w:proofErr w:type="spellStart"/>
      <w:r w:rsidRPr="006B5E35">
        <w:rPr>
          <w:color w:val="auto"/>
          <w:sz w:val="22"/>
          <w:szCs w:val="22"/>
        </w:rPr>
        <w:t>functions</w:t>
      </w:r>
      <w:proofErr w:type="spellEnd"/>
      <w:r w:rsidRPr="006B5E35">
        <w:rPr>
          <w:color w:val="auto"/>
          <w:sz w:val="22"/>
          <w:szCs w:val="22"/>
        </w:rPr>
        <w:t xml:space="preserve"> </w:t>
      </w:r>
      <w:proofErr w:type="spellStart"/>
      <w:r w:rsidRPr="006B5E35">
        <w:rPr>
          <w:color w:val="auto"/>
          <w:sz w:val="22"/>
          <w:szCs w:val="22"/>
        </w:rPr>
        <w:t>for</w:t>
      </w:r>
      <w:proofErr w:type="spellEnd"/>
      <w:r w:rsidRPr="006B5E35">
        <w:rPr>
          <w:color w:val="auto"/>
          <w:sz w:val="22"/>
          <w:szCs w:val="22"/>
        </w:rPr>
        <w:t xml:space="preserve"> cost–benefit </w:t>
      </w:r>
      <w:proofErr w:type="spellStart"/>
      <w:r w:rsidRPr="006B5E35">
        <w:rPr>
          <w:color w:val="auto"/>
          <w:sz w:val="22"/>
          <w:szCs w:val="22"/>
        </w:rPr>
        <w:t>analysis</w:t>
      </w:r>
      <w:proofErr w:type="spellEnd"/>
      <w:r w:rsidRPr="006B5E35">
        <w:rPr>
          <w:color w:val="auto"/>
          <w:sz w:val="22"/>
          <w:szCs w:val="22"/>
        </w:rPr>
        <w:t xml:space="preserve"> </w:t>
      </w:r>
      <w:proofErr w:type="spellStart"/>
      <w:r w:rsidRPr="006B5E35">
        <w:rPr>
          <w:color w:val="auto"/>
          <w:sz w:val="22"/>
          <w:szCs w:val="22"/>
        </w:rPr>
        <w:t>of</w:t>
      </w:r>
      <w:proofErr w:type="spellEnd"/>
      <w:r w:rsidRPr="006B5E35">
        <w:rPr>
          <w:color w:val="auto"/>
          <w:sz w:val="22"/>
          <w:szCs w:val="22"/>
        </w:rPr>
        <w:t xml:space="preserve"> </w:t>
      </w:r>
      <w:proofErr w:type="spellStart"/>
      <w:r w:rsidRPr="006B5E35">
        <w:rPr>
          <w:color w:val="auto"/>
          <w:sz w:val="22"/>
          <w:szCs w:val="22"/>
        </w:rPr>
        <w:t>particulate</w:t>
      </w:r>
      <w:proofErr w:type="spellEnd"/>
      <w:r w:rsidRPr="006B5E35">
        <w:rPr>
          <w:color w:val="auto"/>
          <w:sz w:val="22"/>
          <w:szCs w:val="22"/>
        </w:rPr>
        <w:t xml:space="preserve"> </w:t>
      </w:r>
      <w:proofErr w:type="spellStart"/>
      <w:r w:rsidRPr="006B5E35">
        <w:rPr>
          <w:color w:val="auto"/>
          <w:sz w:val="22"/>
          <w:szCs w:val="22"/>
        </w:rPr>
        <w:t>matter</w:t>
      </w:r>
      <w:proofErr w:type="spellEnd"/>
      <w:r w:rsidRPr="006B5E35">
        <w:rPr>
          <w:color w:val="auto"/>
          <w:sz w:val="22"/>
          <w:szCs w:val="22"/>
        </w:rPr>
        <w:t xml:space="preserve">, ozone and </w:t>
      </w:r>
      <w:proofErr w:type="spellStart"/>
      <w:r w:rsidRPr="006B5E35">
        <w:rPr>
          <w:color w:val="auto"/>
          <w:sz w:val="22"/>
          <w:szCs w:val="22"/>
        </w:rPr>
        <w:t>nitrogen</w:t>
      </w:r>
      <w:proofErr w:type="spellEnd"/>
      <w:r w:rsidRPr="006B5E35">
        <w:rPr>
          <w:color w:val="auto"/>
          <w:sz w:val="22"/>
          <w:szCs w:val="22"/>
        </w:rPr>
        <w:t xml:space="preserve"> dioxide), WHO </w:t>
      </w:r>
      <w:proofErr w:type="spellStart"/>
      <w:r w:rsidRPr="006B5E35">
        <w:rPr>
          <w:color w:val="auto"/>
          <w:sz w:val="22"/>
          <w:szCs w:val="22"/>
        </w:rPr>
        <w:t>Regional</w:t>
      </w:r>
      <w:proofErr w:type="spellEnd"/>
      <w:r w:rsidRPr="006B5E35">
        <w:rPr>
          <w:color w:val="auto"/>
          <w:sz w:val="22"/>
          <w:szCs w:val="22"/>
        </w:rPr>
        <w:t xml:space="preserve"> Office </w:t>
      </w:r>
      <w:proofErr w:type="spellStart"/>
      <w:r w:rsidRPr="006B5E35">
        <w:rPr>
          <w:color w:val="auto"/>
          <w:sz w:val="22"/>
          <w:szCs w:val="22"/>
        </w:rPr>
        <w:t>for</w:t>
      </w:r>
      <w:proofErr w:type="spellEnd"/>
      <w:r w:rsidRPr="006B5E35">
        <w:rPr>
          <w:color w:val="auto"/>
          <w:sz w:val="22"/>
          <w:szCs w:val="22"/>
        </w:rPr>
        <w:t xml:space="preserve"> </w:t>
      </w:r>
      <w:proofErr w:type="spellStart"/>
      <w:r w:rsidRPr="006B5E35">
        <w:rPr>
          <w:color w:val="auto"/>
          <w:sz w:val="22"/>
          <w:szCs w:val="22"/>
        </w:rPr>
        <w:t>Europe</w:t>
      </w:r>
      <w:proofErr w:type="spellEnd"/>
      <w:r w:rsidRPr="006B5E35">
        <w:rPr>
          <w:color w:val="auto"/>
          <w:sz w:val="22"/>
          <w:szCs w:val="22"/>
        </w:rPr>
        <w:t xml:space="preserve"> 2013</w:t>
      </w:r>
    </w:p>
    <w:p w14:paraId="33DCA046" w14:textId="77777777" w:rsidR="00830024" w:rsidRPr="006B5E35" w:rsidRDefault="00830024" w:rsidP="00830024">
      <w:pPr>
        <w:numPr>
          <w:ilvl w:val="0"/>
          <w:numId w:val="24"/>
        </w:numPr>
        <w:spacing w:before="120" w:line="240" w:lineRule="auto"/>
        <w:jc w:val="both"/>
        <w:textAlignment w:val="auto"/>
        <w:rPr>
          <w:color w:val="auto"/>
          <w:sz w:val="22"/>
          <w:szCs w:val="22"/>
        </w:rPr>
      </w:pPr>
      <w:r w:rsidRPr="006B5E35">
        <w:rPr>
          <w:color w:val="auto"/>
          <w:sz w:val="22"/>
          <w:szCs w:val="22"/>
        </w:rPr>
        <w:t xml:space="preserve">WHO: </w:t>
      </w:r>
      <w:proofErr w:type="spellStart"/>
      <w:r w:rsidRPr="006B5E35">
        <w:rPr>
          <w:color w:val="auto"/>
          <w:sz w:val="22"/>
          <w:szCs w:val="22"/>
        </w:rPr>
        <w:t>Review</w:t>
      </w:r>
      <w:proofErr w:type="spellEnd"/>
      <w:r w:rsidRPr="006B5E35">
        <w:rPr>
          <w:color w:val="auto"/>
          <w:sz w:val="22"/>
          <w:szCs w:val="22"/>
        </w:rPr>
        <w:t xml:space="preserve"> </w:t>
      </w:r>
      <w:proofErr w:type="spellStart"/>
      <w:r w:rsidRPr="006B5E35">
        <w:rPr>
          <w:color w:val="auto"/>
          <w:sz w:val="22"/>
          <w:szCs w:val="22"/>
        </w:rPr>
        <w:t>of</w:t>
      </w:r>
      <w:proofErr w:type="spellEnd"/>
      <w:r w:rsidRPr="006B5E35">
        <w:rPr>
          <w:color w:val="auto"/>
          <w:sz w:val="22"/>
          <w:szCs w:val="22"/>
        </w:rPr>
        <w:t xml:space="preserve"> evidence on </w:t>
      </w:r>
      <w:proofErr w:type="spellStart"/>
      <w:r w:rsidRPr="006B5E35">
        <w:rPr>
          <w:color w:val="auto"/>
          <w:sz w:val="22"/>
          <w:szCs w:val="22"/>
        </w:rPr>
        <w:t>health</w:t>
      </w:r>
      <w:proofErr w:type="spellEnd"/>
      <w:r w:rsidRPr="006B5E35">
        <w:rPr>
          <w:color w:val="auto"/>
          <w:sz w:val="22"/>
          <w:szCs w:val="22"/>
        </w:rPr>
        <w:t xml:space="preserve"> </w:t>
      </w:r>
      <w:proofErr w:type="spellStart"/>
      <w:r w:rsidRPr="006B5E35">
        <w:rPr>
          <w:color w:val="auto"/>
          <w:sz w:val="22"/>
          <w:szCs w:val="22"/>
        </w:rPr>
        <w:t>aspects</w:t>
      </w:r>
      <w:proofErr w:type="spellEnd"/>
      <w:r w:rsidRPr="006B5E35">
        <w:rPr>
          <w:color w:val="auto"/>
          <w:sz w:val="22"/>
          <w:szCs w:val="22"/>
        </w:rPr>
        <w:t xml:space="preserve"> </w:t>
      </w:r>
      <w:proofErr w:type="spellStart"/>
      <w:r w:rsidRPr="006B5E35">
        <w:rPr>
          <w:color w:val="auto"/>
          <w:sz w:val="22"/>
          <w:szCs w:val="22"/>
        </w:rPr>
        <w:t>of</w:t>
      </w:r>
      <w:proofErr w:type="spellEnd"/>
      <w:r w:rsidRPr="006B5E35">
        <w:rPr>
          <w:color w:val="auto"/>
          <w:sz w:val="22"/>
          <w:szCs w:val="22"/>
        </w:rPr>
        <w:t xml:space="preserve"> air </w:t>
      </w:r>
      <w:proofErr w:type="spellStart"/>
      <w:r w:rsidRPr="006B5E35">
        <w:rPr>
          <w:color w:val="auto"/>
          <w:sz w:val="22"/>
          <w:szCs w:val="22"/>
        </w:rPr>
        <w:t>pollution</w:t>
      </w:r>
      <w:proofErr w:type="spellEnd"/>
      <w:r w:rsidRPr="006B5E35">
        <w:rPr>
          <w:color w:val="auto"/>
          <w:sz w:val="22"/>
          <w:szCs w:val="22"/>
        </w:rPr>
        <w:t xml:space="preserve"> – REVIHAAP, </w:t>
      </w:r>
      <w:proofErr w:type="spellStart"/>
      <w:r w:rsidRPr="006B5E35">
        <w:rPr>
          <w:color w:val="auto"/>
          <w:sz w:val="22"/>
          <w:szCs w:val="22"/>
        </w:rPr>
        <w:t>Technical</w:t>
      </w:r>
      <w:proofErr w:type="spellEnd"/>
      <w:r w:rsidRPr="006B5E35">
        <w:rPr>
          <w:color w:val="auto"/>
          <w:sz w:val="22"/>
          <w:szCs w:val="22"/>
        </w:rPr>
        <w:t xml:space="preserve"> Report, WHO 2013</w:t>
      </w:r>
    </w:p>
    <w:p w14:paraId="31FD5A7F" w14:textId="77777777" w:rsidR="00830024" w:rsidRPr="006B5E35" w:rsidRDefault="00830024" w:rsidP="00830024">
      <w:pPr>
        <w:pStyle w:val="Zkladntext"/>
        <w:numPr>
          <w:ilvl w:val="0"/>
          <w:numId w:val="24"/>
        </w:numPr>
        <w:autoSpaceDE w:val="0"/>
        <w:autoSpaceDN w:val="0"/>
        <w:adjustRightInd w:val="0"/>
        <w:spacing w:before="120"/>
        <w:jc w:val="both"/>
        <w:rPr>
          <w:rFonts w:ascii="Mulish" w:hAnsi="Mulish"/>
          <w:sz w:val="22"/>
          <w:szCs w:val="22"/>
          <w14:shadow w14:blurRad="0" w14:dist="0" w14:dir="0" w14:sx="0" w14:sy="0" w14:kx="0" w14:ky="0" w14:algn="none">
            <w14:srgbClr w14:val="000000"/>
          </w14:shadow>
        </w:rPr>
      </w:pPr>
      <w:r w:rsidRPr="006B5E35">
        <w:rPr>
          <w:rFonts w:ascii="Mulish" w:hAnsi="Mulish"/>
          <w:sz w:val="22"/>
          <w:szCs w:val="22"/>
          <w14:shadow w14:blurRad="0" w14:dist="0" w14:dir="0" w14:sx="0" w14:sy="0" w14:kx="0" w14:ky="0" w14:algn="none">
            <w14:srgbClr w14:val="000000"/>
          </w14:shadow>
        </w:rPr>
        <w:t>European Commission, Joint Research Centre, Institute for Health and Consumer Protection: European Union Risk Assessment Report, Benzene, 2008.</w:t>
      </w:r>
    </w:p>
    <w:p w14:paraId="5F859566" w14:textId="77777777" w:rsidR="00830024" w:rsidRPr="006B5E35" w:rsidRDefault="00830024" w:rsidP="00830024">
      <w:pPr>
        <w:pStyle w:val="Zkladntext"/>
        <w:numPr>
          <w:ilvl w:val="0"/>
          <w:numId w:val="24"/>
        </w:numPr>
        <w:autoSpaceDE w:val="0"/>
        <w:autoSpaceDN w:val="0"/>
        <w:adjustRightInd w:val="0"/>
        <w:spacing w:before="120"/>
        <w:jc w:val="both"/>
        <w:rPr>
          <w:rFonts w:ascii="Mulish" w:hAnsi="Mulish"/>
          <w:sz w:val="22"/>
          <w:szCs w:val="22"/>
          <w14:shadow w14:blurRad="0" w14:dist="0" w14:dir="0" w14:sx="0" w14:sy="0" w14:kx="0" w14:ky="0" w14:algn="none">
            <w14:srgbClr w14:val="000000"/>
          </w14:shadow>
        </w:rPr>
      </w:pPr>
      <w:r w:rsidRPr="006B5E35">
        <w:rPr>
          <w:rFonts w:ascii="Mulish" w:hAnsi="Mulish"/>
          <w:sz w:val="22"/>
          <w:szCs w:val="22"/>
          <w14:shadow w14:blurRad="0" w14:dist="0" w14:dir="0" w14:sx="0" w14:sy="0" w14:kx="0" w14:ky="0" w14:algn="none">
            <w14:srgbClr w14:val="000000"/>
          </w14:shadow>
        </w:rPr>
        <w:t>IARC Monographs on a review of human carcinogens: Chemical agents and related occupations. Volume 100F. A review of human carcinogens. IARC, Lyon, France.  IARC, 2010. http://monographs.iarc.fr/ENG/Monographs/vol100F/mono100F.pdf. [říjen 2021]</w:t>
      </w:r>
    </w:p>
    <w:p w14:paraId="22C14D09" w14:textId="77777777" w:rsidR="00830024" w:rsidRPr="006B5E35" w:rsidRDefault="00830024" w:rsidP="00830024">
      <w:pPr>
        <w:pStyle w:val="Zkladntext"/>
        <w:numPr>
          <w:ilvl w:val="0"/>
          <w:numId w:val="24"/>
        </w:numPr>
        <w:autoSpaceDE w:val="0"/>
        <w:autoSpaceDN w:val="0"/>
        <w:adjustRightInd w:val="0"/>
        <w:spacing w:before="120"/>
        <w:jc w:val="both"/>
        <w:rPr>
          <w:rFonts w:ascii="Mulish" w:hAnsi="Mulish"/>
          <w:sz w:val="22"/>
          <w:szCs w:val="22"/>
          <w14:shadow w14:blurRad="0" w14:dist="0" w14:dir="0" w14:sx="0" w14:sy="0" w14:kx="0" w14:ky="0" w14:algn="none">
            <w14:srgbClr w14:val="000000"/>
          </w14:shadow>
        </w:rPr>
      </w:pPr>
      <w:r w:rsidRPr="006B5E35">
        <w:rPr>
          <w:rFonts w:ascii="Mulish" w:hAnsi="Mulish"/>
          <w:sz w:val="22"/>
          <w:szCs w:val="22"/>
          <w14:shadow w14:blurRad="0" w14:dist="0" w14:dir="0" w14:sx="0" w14:sy="0" w14:kx="0" w14:ky="0" w14:algn="none">
            <w14:srgbClr w14:val="000000"/>
          </w14:shadow>
        </w:rPr>
        <w:t>IARC Monographs on a review of human carcinogens: Outdoor Air Pollution.Volume 109. A review of human carcinogens. IARC, Lyon, France.  IARC, 2016. http://monographs.iarc.fr/ENG/Monographs/vol109/mono109.pdf. [říjen 2021]</w:t>
      </w:r>
    </w:p>
    <w:p w14:paraId="6CB52A15" w14:textId="77777777" w:rsidR="00830024" w:rsidRPr="006B5E35" w:rsidRDefault="00830024" w:rsidP="00830024">
      <w:pPr>
        <w:pStyle w:val="Odstavecseseznamem"/>
        <w:numPr>
          <w:ilvl w:val="0"/>
          <w:numId w:val="24"/>
        </w:numPr>
        <w:spacing w:after="120" w:line="269" w:lineRule="auto"/>
        <w:jc w:val="both"/>
        <w:rPr>
          <w:rFonts w:ascii="Mulish" w:hAnsi="Mulish"/>
          <w:sz w:val="22"/>
          <w:szCs w:val="22"/>
          <w14:shadow w14:blurRad="0" w14:dist="0" w14:dir="0" w14:sx="0" w14:sy="0" w14:kx="0" w14:ky="0" w14:algn="none">
            <w14:srgbClr w14:val="000000"/>
          </w14:shadow>
        </w:rPr>
      </w:pPr>
      <w:r w:rsidRPr="006B5E35">
        <w:rPr>
          <w:rFonts w:ascii="Mulish" w:hAnsi="Mulish"/>
          <w:sz w:val="22"/>
          <w:szCs w:val="22"/>
          <w14:shadow w14:blurRad="0" w14:dist="0" w14:dir="0" w14:sx="0" w14:sy="0" w14:kx="0" w14:ky="0" w14:algn="none">
            <w14:srgbClr w14:val="000000"/>
          </w14:shadow>
        </w:rPr>
        <w:t>IARC Monographs on a review of human carcinogens: Some Non-heterocyclic Polycyclic Aromatic Hydrocarbons and Some Related Exposures IARC, Lyon, France. IARC, 2010. , ISBN 978 92 832 1292 8 https://monographs.iarc.fr/iarc-monographs-on-the-evaluation-of-carcinogenic-risks-to-humans-29/ [říjen2021]</w:t>
      </w:r>
    </w:p>
    <w:p w14:paraId="7D1C6355" w14:textId="77777777" w:rsidR="00830024" w:rsidRPr="006B5E35" w:rsidRDefault="00830024" w:rsidP="00830024">
      <w:pPr>
        <w:pStyle w:val="Zkladntext"/>
        <w:numPr>
          <w:ilvl w:val="0"/>
          <w:numId w:val="24"/>
        </w:numPr>
        <w:autoSpaceDE w:val="0"/>
        <w:autoSpaceDN w:val="0"/>
        <w:adjustRightInd w:val="0"/>
        <w:spacing w:before="120"/>
        <w:jc w:val="both"/>
        <w:rPr>
          <w:rFonts w:ascii="Mulish" w:hAnsi="Mulish"/>
          <w:sz w:val="22"/>
          <w:szCs w:val="22"/>
          <w14:shadow w14:blurRad="0" w14:dist="0" w14:dir="0" w14:sx="0" w14:sy="0" w14:kx="0" w14:ky="0" w14:algn="none">
            <w14:srgbClr w14:val="000000"/>
          </w14:shadow>
        </w:rPr>
      </w:pPr>
      <w:r w:rsidRPr="006B5E35">
        <w:rPr>
          <w:rFonts w:ascii="Mulish" w:hAnsi="Mulish"/>
          <w:sz w:val="22"/>
          <w:szCs w:val="22"/>
          <w14:shadow w14:blurRad="0" w14:dist="0" w14:dir="0" w14:sx="0" w14:sy="0" w14:kx="0" w14:ky="0" w14:algn="none">
            <w14:srgbClr w14:val="000000"/>
          </w14:shadow>
        </w:rPr>
        <w:t xml:space="preserve"> Development of an inhalation unit risk factor for cadmium, J. Haney Jr., Regulatory Toxicology and Pharmacology 77 (2016) 175e183).</w:t>
      </w:r>
    </w:p>
    <w:p w14:paraId="451BAFE3" w14:textId="77777777" w:rsidR="00830024" w:rsidRPr="006B5E35" w:rsidRDefault="00830024" w:rsidP="00830024">
      <w:pPr>
        <w:numPr>
          <w:ilvl w:val="0"/>
          <w:numId w:val="24"/>
        </w:numPr>
        <w:spacing w:before="120" w:line="240" w:lineRule="auto"/>
        <w:jc w:val="both"/>
        <w:textAlignment w:val="auto"/>
        <w:rPr>
          <w:color w:val="auto"/>
          <w:sz w:val="22"/>
          <w:szCs w:val="22"/>
        </w:rPr>
      </w:pPr>
      <w:r w:rsidRPr="006B5E35">
        <w:rPr>
          <w:color w:val="auto"/>
          <w:sz w:val="22"/>
          <w:szCs w:val="22"/>
        </w:rPr>
        <w:t xml:space="preserve">VINCETI, M. et </w:t>
      </w:r>
      <w:proofErr w:type="spellStart"/>
      <w:r w:rsidRPr="006B5E35">
        <w:rPr>
          <w:color w:val="auto"/>
          <w:sz w:val="22"/>
          <w:szCs w:val="22"/>
        </w:rPr>
        <w:t>all</w:t>
      </w:r>
      <w:proofErr w:type="spellEnd"/>
      <w:r w:rsidRPr="006B5E35">
        <w:rPr>
          <w:color w:val="auto"/>
          <w:sz w:val="22"/>
          <w:szCs w:val="22"/>
        </w:rPr>
        <w:t xml:space="preserve">.: </w:t>
      </w:r>
      <w:proofErr w:type="spellStart"/>
      <w:r w:rsidRPr="006B5E35">
        <w:rPr>
          <w:color w:val="auto"/>
          <w:sz w:val="22"/>
          <w:szCs w:val="22"/>
        </w:rPr>
        <w:t>Leukemia</w:t>
      </w:r>
      <w:proofErr w:type="spellEnd"/>
      <w:r w:rsidRPr="006B5E35">
        <w:rPr>
          <w:color w:val="auto"/>
          <w:sz w:val="22"/>
          <w:szCs w:val="22"/>
        </w:rPr>
        <w:t xml:space="preserve"> risk in </w:t>
      </w:r>
      <w:proofErr w:type="spellStart"/>
      <w:r w:rsidRPr="006B5E35">
        <w:rPr>
          <w:color w:val="auto"/>
          <w:sz w:val="22"/>
          <w:szCs w:val="22"/>
        </w:rPr>
        <w:t>children</w:t>
      </w:r>
      <w:proofErr w:type="spellEnd"/>
      <w:r w:rsidRPr="006B5E35">
        <w:rPr>
          <w:color w:val="auto"/>
          <w:sz w:val="22"/>
          <w:szCs w:val="22"/>
        </w:rPr>
        <w:t xml:space="preserve"> </w:t>
      </w:r>
      <w:proofErr w:type="spellStart"/>
      <w:r w:rsidRPr="006B5E35">
        <w:rPr>
          <w:color w:val="auto"/>
          <w:sz w:val="22"/>
          <w:szCs w:val="22"/>
        </w:rPr>
        <w:t>exposed</w:t>
      </w:r>
      <w:proofErr w:type="spellEnd"/>
      <w:r w:rsidRPr="006B5E35">
        <w:rPr>
          <w:color w:val="auto"/>
          <w:sz w:val="22"/>
          <w:szCs w:val="22"/>
        </w:rPr>
        <w:t xml:space="preserve"> to benzene and PM10 </w:t>
      </w:r>
      <w:proofErr w:type="spellStart"/>
      <w:r w:rsidRPr="006B5E35">
        <w:rPr>
          <w:color w:val="auto"/>
          <w:sz w:val="22"/>
          <w:szCs w:val="22"/>
        </w:rPr>
        <w:t>from</w:t>
      </w:r>
      <w:proofErr w:type="spellEnd"/>
      <w:r w:rsidRPr="006B5E35">
        <w:rPr>
          <w:color w:val="auto"/>
          <w:sz w:val="22"/>
          <w:szCs w:val="22"/>
        </w:rPr>
        <w:t xml:space="preserve"> </w:t>
      </w:r>
      <w:proofErr w:type="spellStart"/>
      <w:r w:rsidRPr="006B5E35">
        <w:rPr>
          <w:color w:val="auto"/>
          <w:sz w:val="22"/>
          <w:szCs w:val="22"/>
        </w:rPr>
        <w:t>vehicular</w:t>
      </w:r>
      <w:proofErr w:type="spellEnd"/>
      <w:r w:rsidRPr="006B5E35">
        <w:rPr>
          <w:color w:val="auto"/>
          <w:sz w:val="22"/>
          <w:szCs w:val="22"/>
        </w:rPr>
        <w:t xml:space="preserve"> </w:t>
      </w:r>
      <w:proofErr w:type="spellStart"/>
      <w:r w:rsidRPr="006B5E35">
        <w:rPr>
          <w:color w:val="auto"/>
          <w:sz w:val="22"/>
          <w:szCs w:val="22"/>
        </w:rPr>
        <w:t>traffic</w:t>
      </w:r>
      <w:proofErr w:type="spellEnd"/>
      <w:r w:rsidRPr="006B5E35">
        <w:rPr>
          <w:color w:val="auto"/>
          <w:sz w:val="22"/>
          <w:szCs w:val="22"/>
        </w:rPr>
        <w:t xml:space="preserve">: A </w:t>
      </w:r>
      <w:proofErr w:type="gramStart"/>
      <w:r w:rsidRPr="006B5E35">
        <w:rPr>
          <w:color w:val="auto"/>
          <w:sz w:val="22"/>
          <w:szCs w:val="22"/>
        </w:rPr>
        <w:t>case</w:t>
      </w:r>
      <w:proofErr w:type="gramEnd"/>
      <w:r w:rsidRPr="006B5E35">
        <w:rPr>
          <w:color w:val="auto"/>
          <w:sz w:val="22"/>
          <w:szCs w:val="22"/>
        </w:rPr>
        <w:t>–</w:t>
      </w:r>
      <w:proofErr w:type="spellStart"/>
      <w:proofErr w:type="gramStart"/>
      <w:r w:rsidRPr="006B5E35">
        <w:rPr>
          <w:color w:val="auto"/>
          <w:sz w:val="22"/>
          <w:szCs w:val="22"/>
        </w:rPr>
        <w:t>control</w:t>
      </w:r>
      <w:proofErr w:type="spellEnd"/>
      <w:proofErr w:type="gramEnd"/>
      <w:r w:rsidRPr="006B5E35">
        <w:rPr>
          <w:color w:val="auto"/>
          <w:sz w:val="22"/>
          <w:szCs w:val="22"/>
        </w:rPr>
        <w:t xml:space="preserve"> study in </w:t>
      </w:r>
      <w:proofErr w:type="spellStart"/>
      <w:r w:rsidRPr="006B5E35">
        <w:rPr>
          <w:color w:val="auto"/>
          <w:sz w:val="22"/>
          <w:szCs w:val="22"/>
        </w:rPr>
        <w:t>an</w:t>
      </w:r>
      <w:proofErr w:type="spellEnd"/>
      <w:r w:rsidRPr="006B5E35">
        <w:rPr>
          <w:color w:val="auto"/>
          <w:sz w:val="22"/>
          <w:szCs w:val="22"/>
        </w:rPr>
        <w:t xml:space="preserve"> </w:t>
      </w:r>
      <w:proofErr w:type="spellStart"/>
      <w:r w:rsidRPr="006B5E35">
        <w:rPr>
          <w:color w:val="auto"/>
          <w:sz w:val="22"/>
          <w:szCs w:val="22"/>
        </w:rPr>
        <w:t>Italian</w:t>
      </w:r>
      <w:proofErr w:type="spellEnd"/>
      <w:r w:rsidRPr="006B5E35">
        <w:rPr>
          <w:color w:val="auto"/>
          <w:sz w:val="22"/>
          <w:szCs w:val="22"/>
        </w:rPr>
        <w:t xml:space="preserve"> </w:t>
      </w:r>
      <w:proofErr w:type="spellStart"/>
      <w:r w:rsidRPr="006B5E35">
        <w:rPr>
          <w:color w:val="auto"/>
          <w:sz w:val="22"/>
          <w:szCs w:val="22"/>
        </w:rPr>
        <w:t>population</w:t>
      </w:r>
      <w:proofErr w:type="spellEnd"/>
      <w:r w:rsidRPr="006B5E35">
        <w:rPr>
          <w:color w:val="auto"/>
          <w:sz w:val="22"/>
          <w:szCs w:val="22"/>
        </w:rPr>
        <w:t xml:space="preserve">. Eur J </w:t>
      </w:r>
      <w:proofErr w:type="spellStart"/>
      <w:r w:rsidRPr="006B5E35">
        <w:rPr>
          <w:color w:val="auto"/>
          <w:sz w:val="22"/>
          <w:szCs w:val="22"/>
        </w:rPr>
        <w:t>Epidemiol</w:t>
      </w:r>
      <w:proofErr w:type="spellEnd"/>
      <w:r w:rsidRPr="006B5E35">
        <w:rPr>
          <w:color w:val="auto"/>
          <w:sz w:val="22"/>
          <w:szCs w:val="22"/>
        </w:rPr>
        <w:t>. 27.10:781–790. DOI 10.1007/s10654-012-9727-1, 2012.</w:t>
      </w:r>
    </w:p>
    <w:p w14:paraId="5237629E" w14:textId="77777777" w:rsidR="00830024" w:rsidRPr="006B5E35" w:rsidRDefault="00830024" w:rsidP="00830024">
      <w:pPr>
        <w:pStyle w:val="Odstavecseseznamem"/>
        <w:autoSpaceDE w:val="0"/>
        <w:autoSpaceDN w:val="0"/>
        <w:adjustRightInd w:val="0"/>
        <w:ind w:left="360"/>
        <w:jc w:val="both"/>
        <w:rPr>
          <w:rFonts w:ascii="Mulish" w:hAnsi="Mulish"/>
          <w:sz w:val="22"/>
          <w:szCs w:val="22"/>
          <w14:shadow w14:blurRad="0" w14:dist="0" w14:dir="0" w14:sx="0" w14:sy="0" w14:kx="0" w14:ky="0" w14:algn="none">
            <w14:srgbClr w14:val="000000"/>
          </w14:shadow>
        </w:rPr>
      </w:pPr>
      <w:r w:rsidRPr="006B5E35">
        <w:rPr>
          <w:rFonts w:ascii="Mulish" w:hAnsi="Mulish"/>
          <w:sz w:val="22"/>
          <w:szCs w:val="22"/>
          <w14:shadow w14:blurRad="0" w14:dist="0" w14:dir="0" w14:sx="0" w14:sy="0" w14:kx="0" w14:ky="0" w14:algn="none">
            <w14:srgbClr w14:val="000000"/>
          </w14:shadow>
        </w:rPr>
        <w:t>http://www.ncbi.nlm.nih.gov/pmc/articles/PMC3493667/ [říjen 2021]</w:t>
      </w:r>
    </w:p>
    <w:p w14:paraId="31CF285B" w14:textId="77777777" w:rsidR="00830024" w:rsidRPr="00D66167" w:rsidRDefault="00830024" w:rsidP="00830024">
      <w:pPr>
        <w:pStyle w:val="Zkladntext"/>
        <w:numPr>
          <w:ilvl w:val="0"/>
          <w:numId w:val="24"/>
        </w:numPr>
        <w:autoSpaceDE w:val="0"/>
        <w:autoSpaceDN w:val="0"/>
        <w:adjustRightInd w:val="0"/>
        <w:spacing w:before="120"/>
        <w:jc w:val="both"/>
        <w:rPr>
          <w:rFonts w:ascii="Mulish" w:hAnsi="Mulish"/>
          <w:color w:val="FF0000"/>
          <w:sz w:val="22"/>
          <w:szCs w:val="22"/>
          <w14:shadow w14:blurRad="0" w14:dist="0" w14:dir="0" w14:sx="0" w14:sy="0" w14:kx="0" w14:ky="0" w14:algn="none">
            <w14:srgbClr w14:val="000000"/>
          </w14:shadow>
        </w:rPr>
      </w:pPr>
      <w:r w:rsidRPr="006B5E35">
        <w:rPr>
          <w:rFonts w:ascii="Mulish" w:hAnsi="Mulish"/>
          <w:sz w:val="22"/>
          <w:szCs w:val="22"/>
          <w14:shadow w14:blurRad="0" w14:dist="0" w14:dir="0" w14:sx="0" w14:sy="0" w14:kx="0" w14:ky="0" w14:algn="none">
            <w14:srgbClr w14:val="000000"/>
          </w14:shadow>
        </w:rPr>
        <w:t>WHO global air quality guidelines. Particulate matter (PM</w:t>
      </w:r>
      <w:r w:rsidRPr="006B5E35">
        <w:rPr>
          <w:rFonts w:ascii="Mulish" w:hAnsi="Mulish"/>
          <w:sz w:val="22"/>
          <w:szCs w:val="22"/>
          <w:vertAlign w:val="subscript"/>
          <w14:shadow w14:blurRad="0" w14:dist="0" w14:dir="0" w14:sx="0" w14:sy="0" w14:kx="0" w14:ky="0" w14:algn="none">
            <w14:srgbClr w14:val="000000"/>
          </w14:shadow>
        </w:rPr>
        <w:t xml:space="preserve">2.5 </w:t>
      </w:r>
      <w:r w:rsidRPr="006B5E35">
        <w:rPr>
          <w:rFonts w:ascii="Mulish" w:hAnsi="Mulish"/>
          <w:sz w:val="22"/>
          <w:szCs w:val="22"/>
          <w14:shadow w14:blurRad="0" w14:dist="0" w14:dir="0" w14:sx="0" w14:sy="0" w14:kx="0" w14:ky="0" w14:algn="none">
            <w14:srgbClr w14:val="000000"/>
          </w14:shadow>
        </w:rPr>
        <w:t>and PM</w:t>
      </w:r>
      <w:r w:rsidRPr="006B5E35">
        <w:rPr>
          <w:rFonts w:ascii="Mulish" w:hAnsi="Mulish"/>
          <w:sz w:val="22"/>
          <w:szCs w:val="22"/>
          <w:vertAlign w:val="subscript"/>
          <w14:shadow w14:blurRad="0" w14:dist="0" w14:dir="0" w14:sx="0" w14:sy="0" w14:kx="0" w14:ky="0" w14:algn="none">
            <w14:srgbClr w14:val="000000"/>
          </w14:shadow>
        </w:rPr>
        <w:t>10</w:t>
      </w:r>
      <w:r w:rsidRPr="006B5E35">
        <w:rPr>
          <w:rFonts w:ascii="Mulish" w:hAnsi="Mulish"/>
          <w:sz w:val="22"/>
          <w:szCs w:val="22"/>
          <w14:shadow w14:blurRad="0" w14:dist="0" w14:dir="0" w14:sx="0" w14:sy="0" w14:kx="0" w14:ky="0" w14:algn="none">
            <w14:srgbClr w14:val="000000"/>
          </w14:shadow>
        </w:rPr>
        <w:t>), ozone, nitrogen dioxide, sulfur dioxide and carbon monoxide. Geneva: World Health Organization, 2021</w:t>
      </w:r>
    </w:p>
    <w:p w14:paraId="734C068B" w14:textId="77777777" w:rsidR="00830024" w:rsidRPr="00D66167" w:rsidRDefault="00830024" w:rsidP="00134AA1">
      <w:pPr>
        <w:pStyle w:val="Nadpis2"/>
        <w:keepLines w:val="0"/>
        <w:autoSpaceDE/>
        <w:autoSpaceDN/>
        <w:adjustRightInd/>
        <w:spacing w:before="0" w:line="240" w:lineRule="auto"/>
        <w:textAlignment w:val="auto"/>
        <w:rPr>
          <w:sz w:val="28"/>
          <w:szCs w:val="28"/>
        </w:rPr>
      </w:pPr>
      <w:r w:rsidRPr="00D66167">
        <w:rPr>
          <w:b w:val="0"/>
          <w:color w:val="FF0000"/>
          <w:sz w:val="22"/>
          <w:szCs w:val="22"/>
        </w:rPr>
        <w:br w:type="page"/>
      </w:r>
      <w:r w:rsidRPr="00D66167">
        <w:rPr>
          <w:sz w:val="28"/>
          <w:szCs w:val="28"/>
        </w:rPr>
        <w:lastRenderedPageBreak/>
        <w:t>Příloha č. 1:</w:t>
      </w:r>
    </w:p>
    <w:tbl>
      <w:tblPr>
        <w:tblpPr w:leftFromText="141" w:rightFromText="141" w:vertAnchor="page" w:horzAnchor="margin" w:tblpY="3706"/>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1418"/>
        <w:gridCol w:w="1418"/>
        <w:gridCol w:w="1418"/>
        <w:gridCol w:w="1418"/>
        <w:gridCol w:w="1418"/>
      </w:tblGrid>
      <w:tr w:rsidR="00830024" w:rsidRPr="00D66167" w14:paraId="01086A96" w14:textId="77777777" w:rsidTr="00D66167">
        <w:trPr>
          <w:trHeight w:val="300"/>
        </w:trPr>
        <w:tc>
          <w:tcPr>
            <w:tcW w:w="2689" w:type="dxa"/>
            <w:shd w:val="clear" w:color="auto" w:fill="66FFFF"/>
            <w:noWrap/>
            <w:tcMar>
              <w:left w:w="28" w:type="dxa"/>
              <w:right w:w="28" w:type="dxa"/>
            </w:tcMar>
            <w:vAlign w:val="center"/>
          </w:tcPr>
          <w:p w14:paraId="46A3FA62" w14:textId="77777777" w:rsidR="00830024" w:rsidRPr="00D66167" w:rsidRDefault="00830024" w:rsidP="00D66167">
            <w:pPr>
              <w:widowControl w:val="0"/>
              <w:spacing w:line="193" w:lineRule="atLeast"/>
              <w:jc w:val="center"/>
            </w:pPr>
            <w:r w:rsidRPr="00D66167">
              <w:t>rok</w:t>
            </w:r>
          </w:p>
        </w:tc>
        <w:tc>
          <w:tcPr>
            <w:tcW w:w="1418" w:type="dxa"/>
            <w:shd w:val="clear" w:color="auto" w:fill="66FFFF"/>
            <w:tcMar>
              <w:left w:w="28" w:type="dxa"/>
              <w:right w:w="28" w:type="dxa"/>
            </w:tcMar>
            <w:vAlign w:val="center"/>
          </w:tcPr>
          <w:p w14:paraId="1BC94D0F" w14:textId="77777777" w:rsidR="00830024" w:rsidRPr="00D66167" w:rsidRDefault="00830024" w:rsidP="00D66167">
            <w:pPr>
              <w:widowControl w:val="0"/>
              <w:spacing w:line="193" w:lineRule="atLeast"/>
              <w:jc w:val="center"/>
            </w:pPr>
            <w:r w:rsidRPr="00D66167">
              <w:t>2013</w:t>
            </w:r>
          </w:p>
        </w:tc>
        <w:tc>
          <w:tcPr>
            <w:tcW w:w="1418" w:type="dxa"/>
            <w:shd w:val="clear" w:color="auto" w:fill="66FFFF"/>
            <w:tcMar>
              <w:left w:w="28" w:type="dxa"/>
              <w:right w:w="28" w:type="dxa"/>
            </w:tcMar>
            <w:vAlign w:val="center"/>
          </w:tcPr>
          <w:p w14:paraId="149DE88E" w14:textId="77777777" w:rsidR="00830024" w:rsidRPr="00D66167" w:rsidRDefault="00830024" w:rsidP="00D66167">
            <w:pPr>
              <w:widowControl w:val="0"/>
              <w:spacing w:line="193" w:lineRule="atLeast"/>
              <w:jc w:val="center"/>
            </w:pPr>
            <w:r w:rsidRPr="00D66167">
              <w:t>2014</w:t>
            </w:r>
          </w:p>
        </w:tc>
        <w:tc>
          <w:tcPr>
            <w:tcW w:w="1418" w:type="dxa"/>
            <w:shd w:val="clear" w:color="auto" w:fill="66FFFF"/>
            <w:tcMar>
              <w:left w:w="28" w:type="dxa"/>
              <w:right w:w="28" w:type="dxa"/>
            </w:tcMar>
            <w:vAlign w:val="center"/>
          </w:tcPr>
          <w:p w14:paraId="08EF5A98" w14:textId="77777777" w:rsidR="00830024" w:rsidRPr="00D66167" w:rsidRDefault="00830024" w:rsidP="00D66167">
            <w:pPr>
              <w:widowControl w:val="0"/>
              <w:spacing w:line="193" w:lineRule="atLeast"/>
              <w:jc w:val="center"/>
            </w:pPr>
            <w:r w:rsidRPr="00D66167">
              <w:t>2015</w:t>
            </w:r>
          </w:p>
        </w:tc>
        <w:tc>
          <w:tcPr>
            <w:tcW w:w="1418" w:type="dxa"/>
            <w:shd w:val="clear" w:color="auto" w:fill="66FFFF"/>
            <w:tcMar>
              <w:left w:w="28" w:type="dxa"/>
              <w:right w:w="28" w:type="dxa"/>
            </w:tcMar>
            <w:vAlign w:val="center"/>
          </w:tcPr>
          <w:p w14:paraId="617325E0" w14:textId="77777777" w:rsidR="00830024" w:rsidRPr="00D66167" w:rsidRDefault="00830024" w:rsidP="00D66167">
            <w:pPr>
              <w:widowControl w:val="0"/>
              <w:spacing w:line="193" w:lineRule="atLeast"/>
              <w:jc w:val="center"/>
            </w:pPr>
            <w:r w:rsidRPr="00D66167">
              <w:t>2016</w:t>
            </w:r>
          </w:p>
        </w:tc>
        <w:tc>
          <w:tcPr>
            <w:tcW w:w="1418" w:type="dxa"/>
            <w:shd w:val="clear" w:color="auto" w:fill="66FFFF"/>
            <w:vAlign w:val="center"/>
          </w:tcPr>
          <w:p w14:paraId="1980E61B" w14:textId="77777777" w:rsidR="00830024" w:rsidRPr="00D66167" w:rsidRDefault="00830024" w:rsidP="00D66167">
            <w:pPr>
              <w:widowControl w:val="0"/>
              <w:spacing w:line="193" w:lineRule="atLeast"/>
              <w:jc w:val="center"/>
            </w:pPr>
            <w:r w:rsidRPr="00D66167">
              <w:t>2017</w:t>
            </w:r>
          </w:p>
        </w:tc>
      </w:tr>
      <w:tr w:rsidR="00830024" w:rsidRPr="00D66167" w14:paraId="71C31C0B" w14:textId="77777777" w:rsidTr="00D66167">
        <w:trPr>
          <w:trHeight w:val="300"/>
        </w:trPr>
        <w:tc>
          <w:tcPr>
            <w:tcW w:w="2689" w:type="dxa"/>
            <w:shd w:val="clear" w:color="auto" w:fill="66FFFF"/>
            <w:noWrap/>
            <w:tcMar>
              <w:left w:w="28" w:type="dxa"/>
              <w:right w:w="28" w:type="dxa"/>
            </w:tcMar>
            <w:vAlign w:val="center"/>
          </w:tcPr>
          <w:p w14:paraId="3AEDA8A0" w14:textId="77777777" w:rsidR="00830024" w:rsidRPr="00D66167" w:rsidRDefault="00830024" w:rsidP="00D66167">
            <w:pPr>
              <w:widowControl w:val="0"/>
              <w:spacing w:line="193" w:lineRule="atLeast"/>
            </w:pPr>
            <w:r w:rsidRPr="00D66167">
              <w:t xml:space="preserve">střední </w:t>
            </w:r>
            <w:proofErr w:type="spellStart"/>
            <w:r w:rsidRPr="00D66167">
              <w:t>konc</w:t>
            </w:r>
            <w:proofErr w:type="spellEnd"/>
            <w:r w:rsidRPr="00D66167">
              <w:t>. PM</w:t>
            </w:r>
            <w:r w:rsidRPr="00D66167">
              <w:rPr>
                <w:vertAlign w:val="subscript"/>
              </w:rPr>
              <w:t>10</w:t>
            </w:r>
            <w:r w:rsidRPr="00D66167">
              <w:t xml:space="preserve"> v µg/m</w:t>
            </w:r>
            <w:r w:rsidRPr="00D66167">
              <w:rPr>
                <w:vertAlign w:val="superscript"/>
              </w:rPr>
              <w:t xml:space="preserve">3 </w:t>
            </w:r>
            <w:r w:rsidRPr="00D66167">
              <w:t>v sídlech</w:t>
            </w:r>
          </w:p>
        </w:tc>
        <w:tc>
          <w:tcPr>
            <w:tcW w:w="1418" w:type="dxa"/>
            <w:shd w:val="clear" w:color="auto" w:fill="auto"/>
            <w:tcMar>
              <w:left w:w="28" w:type="dxa"/>
              <w:right w:w="28" w:type="dxa"/>
            </w:tcMar>
            <w:vAlign w:val="center"/>
          </w:tcPr>
          <w:p w14:paraId="4A6ADB71" w14:textId="77777777" w:rsidR="00830024" w:rsidRPr="00D66167" w:rsidRDefault="00830024" w:rsidP="00D66167">
            <w:pPr>
              <w:widowControl w:val="0"/>
              <w:spacing w:line="193" w:lineRule="atLeast"/>
              <w:jc w:val="center"/>
            </w:pPr>
            <w:r w:rsidRPr="00D66167">
              <w:t>26,6</w:t>
            </w:r>
          </w:p>
        </w:tc>
        <w:tc>
          <w:tcPr>
            <w:tcW w:w="1418" w:type="dxa"/>
            <w:shd w:val="clear" w:color="auto" w:fill="auto"/>
            <w:tcMar>
              <w:left w:w="28" w:type="dxa"/>
              <w:right w:w="28" w:type="dxa"/>
            </w:tcMar>
            <w:vAlign w:val="center"/>
          </w:tcPr>
          <w:p w14:paraId="007150C7" w14:textId="77777777" w:rsidR="00830024" w:rsidRPr="00D66167" w:rsidRDefault="00830024" w:rsidP="00D66167">
            <w:pPr>
              <w:widowControl w:val="0"/>
              <w:spacing w:line="193" w:lineRule="atLeast"/>
              <w:jc w:val="center"/>
            </w:pPr>
            <w:r w:rsidRPr="00D66167">
              <w:t>25,5</w:t>
            </w:r>
          </w:p>
        </w:tc>
        <w:tc>
          <w:tcPr>
            <w:tcW w:w="1418" w:type="dxa"/>
            <w:shd w:val="clear" w:color="auto" w:fill="auto"/>
            <w:tcMar>
              <w:left w:w="28" w:type="dxa"/>
              <w:right w:w="28" w:type="dxa"/>
            </w:tcMar>
            <w:vAlign w:val="center"/>
          </w:tcPr>
          <w:p w14:paraId="163483CA" w14:textId="77777777" w:rsidR="00830024" w:rsidRPr="00D66167" w:rsidRDefault="00830024" w:rsidP="00D66167">
            <w:pPr>
              <w:widowControl w:val="0"/>
              <w:spacing w:line="193" w:lineRule="atLeast"/>
              <w:jc w:val="center"/>
            </w:pPr>
            <w:r w:rsidRPr="00D66167">
              <w:t>23,9</w:t>
            </w:r>
          </w:p>
        </w:tc>
        <w:tc>
          <w:tcPr>
            <w:tcW w:w="1418" w:type="dxa"/>
            <w:shd w:val="clear" w:color="auto" w:fill="auto"/>
            <w:tcMar>
              <w:left w:w="28" w:type="dxa"/>
              <w:right w:w="28" w:type="dxa"/>
            </w:tcMar>
            <w:vAlign w:val="center"/>
          </w:tcPr>
          <w:p w14:paraId="77B09746" w14:textId="77777777" w:rsidR="00830024" w:rsidRPr="00D66167" w:rsidRDefault="00830024" w:rsidP="00D66167">
            <w:pPr>
              <w:widowControl w:val="0"/>
              <w:spacing w:line="193" w:lineRule="atLeast"/>
              <w:jc w:val="center"/>
            </w:pPr>
            <w:r w:rsidRPr="00D66167">
              <w:t>21,0</w:t>
            </w:r>
          </w:p>
        </w:tc>
        <w:tc>
          <w:tcPr>
            <w:tcW w:w="1418" w:type="dxa"/>
            <w:vAlign w:val="center"/>
          </w:tcPr>
          <w:p w14:paraId="4CA85B4B" w14:textId="77777777" w:rsidR="00830024" w:rsidRPr="00D66167" w:rsidRDefault="00830024" w:rsidP="00D66167">
            <w:pPr>
              <w:widowControl w:val="0"/>
              <w:spacing w:line="193" w:lineRule="atLeast"/>
              <w:jc w:val="center"/>
            </w:pPr>
            <w:r w:rsidRPr="00D66167">
              <w:t>23,2</w:t>
            </w:r>
          </w:p>
        </w:tc>
      </w:tr>
      <w:tr w:rsidR="00830024" w:rsidRPr="00D66167" w14:paraId="33EC08CE" w14:textId="77777777" w:rsidTr="00D66167">
        <w:trPr>
          <w:trHeight w:val="300"/>
        </w:trPr>
        <w:tc>
          <w:tcPr>
            <w:tcW w:w="2689" w:type="dxa"/>
            <w:shd w:val="clear" w:color="auto" w:fill="66FFFF"/>
            <w:noWrap/>
            <w:tcMar>
              <w:left w:w="28" w:type="dxa"/>
              <w:right w:w="28" w:type="dxa"/>
            </w:tcMar>
            <w:vAlign w:val="center"/>
          </w:tcPr>
          <w:p w14:paraId="6517BCFE" w14:textId="77777777" w:rsidR="00830024" w:rsidRPr="00D66167" w:rsidRDefault="00830024" w:rsidP="00D66167">
            <w:pPr>
              <w:widowControl w:val="0"/>
              <w:spacing w:line="193" w:lineRule="atLeast"/>
              <w:rPr>
                <w:highlight w:val="cyan"/>
              </w:rPr>
            </w:pPr>
            <w:r w:rsidRPr="00D66167">
              <w:t>Odhad počtu předčasných úmrtí a rozpětí odhadu</w:t>
            </w:r>
          </w:p>
        </w:tc>
        <w:tc>
          <w:tcPr>
            <w:tcW w:w="1418" w:type="dxa"/>
            <w:shd w:val="clear" w:color="auto" w:fill="auto"/>
            <w:tcMar>
              <w:left w:w="28" w:type="dxa"/>
              <w:right w:w="28" w:type="dxa"/>
            </w:tcMar>
            <w:vAlign w:val="center"/>
          </w:tcPr>
          <w:p w14:paraId="5ABA44CC" w14:textId="77777777" w:rsidR="00830024" w:rsidRPr="00D66167" w:rsidRDefault="00830024" w:rsidP="00D66167">
            <w:pPr>
              <w:widowControl w:val="0"/>
              <w:spacing w:line="193" w:lineRule="atLeast"/>
              <w:jc w:val="center"/>
            </w:pPr>
            <w:r w:rsidRPr="00D66167">
              <w:t>4 900</w:t>
            </w:r>
          </w:p>
          <w:p w14:paraId="36EE2EDC" w14:textId="77777777" w:rsidR="00830024" w:rsidRPr="00D66167" w:rsidRDefault="00830024" w:rsidP="00D66167">
            <w:pPr>
              <w:widowControl w:val="0"/>
              <w:spacing w:line="193" w:lineRule="atLeast"/>
              <w:jc w:val="center"/>
            </w:pPr>
            <w:r w:rsidRPr="00D66167">
              <w:t>(0 – 15600)</w:t>
            </w:r>
          </w:p>
        </w:tc>
        <w:tc>
          <w:tcPr>
            <w:tcW w:w="1418" w:type="dxa"/>
            <w:shd w:val="clear" w:color="auto" w:fill="auto"/>
            <w:tcMar>
              <w:left w:w="28" w:type="dxa"/>
              <w:right w:w="28" w:type="dxa"/>
            </w:tcMar>
            <w:vAlign w:val="center"/>
          </w:tcPr>
          <w:p w14:paraId="6A888536" w14:textId="77777777" w:rsidR="00830024" w:rsidRPr="00D66167" w:rsidRDefault="00830024" w:rsidP="00D66167">
            <w:pPr>
              <w:widowControl w:val="0"/>
              <w:spacing w:line="193" w:lineRule="atLeast"/>
              <w:jc w:val="center"/>
            </w:pPr>
            <w:r w:rsidRPr="00D66167">
              <w:t>4 300</w:t>
            </w:r>
          </w:p>
          <w:p w14:paraId="126B59E9" w14:textId="77777777" w:rsidR="00830024" w:rsidRPr="00D66167" w:rsidRDefault="00830024" w:rsidP="00D66167">
            <w:pPr>
              <w:widowControl w:val="0"/>
              <w:spacing w:line="193" w:lineRule="atLeast"/>
              <w:jc w:val="center"/>
            </w:pPr>
            <w:r w:rsidRPr="00D66167">
              <w:t>(1300–13400)</w:t>
            </w:r>
          </w:p>
        </w:tc>
        <w:tc>
          <w:tcPr>
            <w:tcW w:w="1418" w:type="dxa"/>
            <w:shd w:val="clear" w:color="auto" w:fill="auto"/>
            <w:tcMar>
              <w:left w:w="28" w:type="dxa"/>
              <w:right w:w="28" w:type="dxa"/>
            </w:tcMar>
            <w:vAlign w:val="center"/>
          </w:tcPr>
          <w:p w14:paraId="3B650BB3" w14:textId="77777777" w:rsidR="00830024" w:rsidRPr="00D66167" w:rsidRDefault="00830024" w:rsidP="00D66167">
            <w:pPr>
              <w:widowControl w:val="0"/>
              <w:spacing w:line="193" w:lineRule="atLeast"/>
              <w:jc w:val="center"/>
            </w:pPr>
            <w:r w:rsidRPr="00D66167">
              <w:t>3 800</w:t>
            </w:r>
          </w:p>
          <w:p w14:paraId="2E7E9384" w14:textId="77777777" w:rsidR="00830024" w:rsidRPr="00D66167" w:rsidRDefault="00830024" w:rsidP="00D66167">
            <w:pPr>
              <w:widowControl w:val="0"/>
              <w:spacing w:line="193" w:lineRule="atLeast"/>
              <w:jc w:val="center"/>
            </w:pPr>
            <w:r w:rsidRPr="00D66167">
              <w:t>(900–11400)</w:t>
            </w:r>
          </w:p>
        </w:tc>
        <w:tc>
          <w:tcPr>
            <w:tcW w:w="1418" w:type="dxa"/>
            <w:shd w:val="clear" w:color="auto" w:fill="auto"/>
            <w:tcMar>
              <w:left w:w="28" w:type="dxa"/>
              <w:right w:w="28" w:type="dxa"/>
            </w:tcMar>
            <w:vAlign w:val="center"/>
          </w:tcPr>
          <w:p w14:paraId="48EDFF5A" w14:textId="77777777" w:rsidR="00830024" w:rsidRPr="00D66167" w:rsidRDefault="00830024" w:rsidP="00D66167">
            <w:pPr>
              <w:widowControl w:val="0"/>
              <w:spacing w:line="193" w:lineRule="atLeast"/>
              <w:jc w:val="center"/>
            </w:pPr>
            <w:r w:rsidRPr="00D66167">
              <w:t>2 500</w:t>
            </w:r>
          </w:p>
          <w:p w14:paraId="6D69F5B6" w14:textId="77777777" w:rsidR="00830024" w:rsidRPr="00D66167" w:rsidRDefault="00830024" w:rsidP="00D66167">
            <w:pPr>
              <w:widowControl w:val="0"/>
              <w:spacing w:line="193" w:lineRule="atLeast"/>
              <w:jc w:val="center"/>
            </w:pPr>
            <w:r w:rsidRPr="00D66167">
              <w:t>(0–10800)</w:t>
            </w:r>
          </w:p>
        </w:tc>
        <w:tc>
          <w:tcPr>
            <w:tcW w:w="1418" w:type="dxa"/>
            <w:vAlign w:val="center"/>
          </w:tcPr>
          <w:p w14:paraId="1504350A" w14:textId="77777777" w:rsidR="00830024" w:rsidRPr="00D66167" w:rsidRDefault="00830024" w:rsidP="00D66167">
            <w:pPr>
              <w:widowControl w:val="0"/>
              <w:spacing w:line="193" w:lineRule="atLeast"/>
              <w:jc w:val="center"/>
            </w:pPr>
            <w:r w:rsidRPr="00D66167">
              <w:t>3 600</w:t>
            </w:r>
          </w:p>
          <w:p w14:paraId="5D738617" w14:textId="77777777" w:rsidR="00830024" w:rsidRPr="00D66167" w:rsidRDefault="00830024" w:rsidP="00D66167">
            <w:pPr>
              <w:widowControl w:val="0"/>
              <w:spacing w:line="193" w:lineRule="atLeast"/>
              <w:jc w:val="center"/>
            </w:pPr>
            <w:r w:rsidRPr="00D66167">
              <w:t>(500–12 900)</w:t>
            </w:r>
          </w:p>
        </w:tc>
      </w:tr>
      <w:tr w:rsidR="00830024" w:rsidRPr="00D66167" w14:paraId="35A668F1" w14:textId="77777777" w:rsidTr="00D66167">
        <w:trPr>
          <w:trHeight w:val="300"/>
        </w:trPr>
        <w:tc>
          <w:tcPr>
            <w:tcW w:w="2689" w:type="dxa"/>
            <w:shd w:val="clear" w:color="auto" w:fill="66FFFF"/>
            <w:noWrap/>
            <w:tcMar>
              <w:left w:w="28" w:type="dxa"/>
              <w:right w:w="28" w:type="dxa"/>
            </w:tcMar>
            <w:vAlign w:val="center"/>
          </w:tcPr>
          <w:p w14:paraId="011AA89F" w14:textId="77777777" w:rsidR="00830024" w:rsidRPr="00D66167" w:rsidRDefault="00830024" w:rsidP="00D66167">
            <w:pPr>
              <w:widowControl w:val="0"/>
              <w:spacing w:line="193" w:lineRule="atLeast"/>
              <w:jc w:val="center"/>
            </w:pPr>
            <w:r w:rsidRPr="00D66167">
              <w:t>rok</w:t>
            </w:r>
          </w:p>
        </w:tc>
        <w:tc>
          <w:tcPr>
            <w:tcW w:w="1418" w:type="dxa"/>
            <w:shd w:val="clear" w:color="auto" w:fill="66FFFF"/>
            <w:tcMar>
              <w:left w:w="28" w:type="dxa"/>
              <w:right w:w="28" w:type="dxa"/>
            </w:tcMar>
            <w:vAlign w:val="center"/>
          </w:tcPr>
          <w:p w14:paraId="76C390CF" w14:textId="77777777" w:rsidR="00830024" w:rsidRPr="00D66167" w:rsidRDefault="00830024" w:rsidP="00D66167">
            <w:pPr>
              <w:widowControl w:val="0"/>
              <w:spacing w:line="193" w:lineRule="atLeast"/>
              <w:jc w:val="center"/>
            </w:pPr>
            <w:r w:rsidRPr="00D66167">
              <w:t>2018</w:t>
            </w:r>
          </w:p>
        </w:tc>
        <w:tc>
          <w:tcPr>
            <w:tcW w:w="1418" w:type="dxa"/>
            <w:shd w:val="clear" w:color="auto" w:fill="66FFFF"/>
            <w:tcMar>
              <w:left w:w="28" w:type="dxa"/>
              <w:right w:w="28" w:type="dxa"/>
            </w:tcMar>
            <w:vAlign w:val="center"/>
          </w:tcPr>
          <w:p w14:paraId="4797461E" w14:textId="77777777" w:rsidR="00830024" w:rsidRPr="00D66167" w:rsidRDefault="00830024" w:rsidP="00D66167">
            <w:pPr>
              <w:widowControl w:val="0"/>
              <w:spacing w:line="193" w:lineRule="atLeast"/>
              <w:jc w:val="center"/>
            </w:pPr>
            <w:r w:rsidRPr="00D66167">
              <w:t>2019</w:t>
            </w:r>
          </w:p>
        </w:tc>
        <w:tc>
          <w:tcPr>
            <w:tcW w:w="1418" w:type="dxa"/>
            <w:shd w:val="clear" w:color="auto" w:fill="66FFFF"/>
            <w:tcMar>
              <w:left w:w="28" w:type="dxa"/>
              <w:right w:w="28" w:type="dxa"/>
            </w:tcMar>
            <w:vAlign w:val="center"/>
          </w:tcPr>
          <w:p w14:paraId="1169C817" w14:textId="77777777" w:rsidR="00830024" w:rsidRPr="00D66167" w:rsidRDefault="00830024" w:rsidP="00D66167">
            <w:pPr>
              <w:widowControl w:val="0"/>
              <w:spacing w:line="193" w:lineRule="atLeast"/>
              <w:jc w:val="center"/>
            </w:pPr>
            <w:r w:rsidRPr="00D66167">
              <w:t>2020</w:t>
            </w:r>
          </w:p>
        </w:tc>
        <w:tc>
          <w:tcPr>
            <w:tcW w:w="1418" w:type="dxa"/>
            <w:shd w:val="clear" w:color="auto" w:fill="66FFFF"/>
            <w:tcMar>
              <w:left w:w="28" w:type="dxa"/>
              <w:right w:w="28" w:type="dxa"/>
            </w:tcMar>
            <w:vAlign w:val="center"/>
          </w:tcPr>
          <w:p w14:paraId="222DD002" w14:textId="77777777" w:rsidR="00830024" w:rsidRPr="00D66167" w:rsidRDefault="00830024" w:rsidP="00D66167">
            <w:pPr>
              <w:widowControl w:val="0"/>
              <w:spacing w:line="193" w:lineRule="atLeast"/>
              <w:jc w:val="center"/>
            </w:pPr>
            <w:r w:rsidRPr="00D66167">
              <w:t>2021</w:t>
            </w:r>
          </w:p>
        </w:tc>
        <w:tc>
          <w:tcPr>
            <w:tcW w:w="1418" w:type="dxa"/>
            <w:shd w:val="clear" w:color="auto" w:fill="66FFFF"/>
            <w:vAlign w:val="center"/>
          </w:tcPr>
          <w:p w14:paraId="5291924D" w14:textId="7822592C" w:rsidR="00830024" w:rsidRPr="00D66167" w:rsidRDefault="00D66167" w:rsidP="00D66167">
            <w:pPr>
              <w:widowControl w:val="0"/>
              <w:spacing w:line="193" w:lineRule="atLeast"/>
              <w:jc w:val="center"/>
            </w:pPr>
            <w:r>
              <w:t>2022</w:t>
            </w:r>
          </w:p>
        </w:tc>
      </w:tr>
      <w:tr w:rsidR="00830024" w:rsidRPr="00D66167" w14:paraId="457F7777" w14:textId="77777777" w:rsidTr="00D66167">
        <w:trPr>
          <w:trHeight w:val="300"/>
        </w:trPr>
        <w:tc>
          <w:tcPr>
            <w:tcW w:w="2689" w:type="dxa"/>
            <w:shd w:val="clear" w:color="auto" w:fill="66FFFF"/>
            <w:noWrap/>
            <w:tcMar>
              <w:left w:w="28" w:type="dxa"/>
              <w:right w:w="28" w:type="dxa"/>
            </w:tcMar>
            <w:vAlign w:val="center"/>
          </w:tcPr>
          <w:p w14:paraId="4C14BEA4" w14:textId="77777777" w:rsidR="00830024" w:rsidRPr="00D66167" w:rsidRDefault="00830024" w:rsidP="00D66167">
            <w:pPr>
              <w:widowControl w:val="0"/>
              <w:spacing w:line="193" w:lineRule="atLeast"/>
            </w:pPr>
            <w:r w:rsidRPr="00D66167">
              <w:t xml:space="preserve">střední </w:t>
            </w:r>
            <w:proofErr w:type="spellStart"/>
            <w:r w:rsidRPr="00D66167">
              <w:t>konc</w:t>
            </w:r>
            <w:proofErr w:type="spellEnd"/>
            <w:r w:rsidRPr="00D66167">
              <w:t>. PM</w:t>
            </w:r>
            <w:r w:rsidRPr="00D66167">
              <w:rPr>
                <w:vertAlign w:val="subscript"/>
              </w:rPr>
              <w:t>10</w:t>
            </w:r>
            <w:r w:rsidRPr="00D66167">
              <w:t xml:space="preserve"> v µg/m</w:t>
            </w:r>
            <w:r w:rsidRPr="00D66167">
              <w:rPr>
                <w:vertAlign w:val="superscript"/>
              </w:rPr>
              <w:t xml:space="preserve">3 </w:t>
            </w:r>
            <w:r w:rsidRPr="00D66167">
              <w:t>v sídlech</w:t>
            </w:r>
          </w:p>
        </w:tc>
        <w:tc>
          <w:tcPr>
            <w:tcW w:w="1418" w:type="dxa"/>
            <w:shd w:val="clear" w:color="auto" w:fill="auto"/>
            <w:tcMar>
              <w:left w:w="28" w:type="dxa"/>
              <w:right w:w="28" w:type="dxa"/>
            </w:tcMar>
            <w:vAlign w:val="center"/>
          </w:tcPr>
          <w:p w14:paraId="52E2724B" w14:textId="77777777" w:rsidR="00830024" w:rsidRPr="00D66167" w:rsidRDefault="00830024" w:rsidP="00D66167">
            <w:pPr>
              <w:widowControl w:val="0"/>
              <w:spacing w:line="193" w:lineRule="atLeast"/>
              <w:jc w:val="center"/>
            </w:pPr>
            <w:r w:rsidRPr="00D66167">
              <w:t>24,0</w:t>
            </w:r>
          </w:p>
        </w:tc>
        <w:tc>
          <w:tcPr>
            <w:tcW w:w="1418" w:type="dxa"/>
            <w:shd w:val="clear" w:color="auto" w:fill="auto"/>
            <w:tcMar>
              <w:left w:w="28" w:type="dxa"/>
              <w:right w:w="28" w:type="dxa"/>
            </w:tcMar>
            <w:vAlign w:val="center"/>
          </w:tcPr>
          <w:p w14:paraId="5447837B" w14:textId="77777777" w:rsidR="00830024" w:rsidRPr="00D66167" w:rsidRDefault="00830024" w:rsidP="00D66167">
            <w:pPr>
              <w:widowControl w:val="0"/>
              <w:spacing w:line="193" w:lineRule="atLeast"/>
              <w:jc w:val="center"/>
            </w:pPr>
            <w:r w:rsidRPr="00D66167">
              <w:t>19,0</w:t>
            </w:r>
          </w:p>
        </w:tc>
        <w:tc>
          <w:tcPr>
            <w:tcW w:w="1418" w:type="dxa"/>
            <w:shd w:val="clear" w:color="auto" w:fill="auto"/>
            <w:tcMar>
              <w:left w:w="28" w:type="dxa"/>
              <w:right w:w="28" w:type="dxa"/>
            </w:tcMar>
            <w:vAlign w:val="center"/>
          </w:tcPr>
          <w:p w14:paraId="568BF686" w14:textId="77777777" w:rsidR="00830024" w:rsidRPr="00D66167" w:rsidRDefault="00830024" w:rsidP="00D66167">
            <w:pPr>
              <w:widowControl w:val="0"/>
              <w:spacing w:line="193" w:lineRule="atLeast"/>
              <w:jc w:val="center"/>
            </w:pPr>
            <w:r w:rsidRPr="00D66167">
              <w:t>17,0</w:t>
            </w:r>
          </w:p>
        </w:tc>
        <w:tc>
          <w:tcPr>
            <w:tcW w:w="1418" w:type="dxa"/>
            <w:shd w:val="clear" w:color="auto" w:fill="auto"/>
            <w:tcMar>
              <w:left w:w="28" w:type="dxa"/>
              <w:right w:w="28" w:type="dxa"/>
            </w:tcMar>
            <w:vAlign w:val="center"/>
          </w:tcPr>
          <w:p w14:paraId="527D61A6" w14:textId="77777777" w:rsidR="00830024" w:rsidRPr="00D66167" w:rsidRDefault="00830024" w:rsidP="00D66167">
            <w:pPr>
              <w:widowControl w:val="0"/>
              <w:spacing w:line="193" w:lineRule="atLeast"/>
              <w:jc w:val="center"/>
            </w:pPr>
            <w:r w:rsidRPr="00D66167">
              <w:t>17,9</w:t>
            </w:r>
          </w:p>
        </w:tc>
        <w:tc>
          <w:tcPr>
            <w:tcW w:w="1418" w:type="dxa"/>
            <w:vAlign w:val="center"/>
          </w:tcPr>
          <w:p w14:paraId="2F17F785" w14:textId="77777777" w:rsidR="00830024" w:rsidRPr="00D66167" w:rsidRDefault="00830024" w:rsidP="00D66167">
            <w:pPr>
              <w:widowControl w:val="0"/>
              <w:spacing w:line="193" w:lineRule="atLeast"/>
              <w:jc w:val="center"/>
            </w:pPr>
            <w:r w:rsidRPr="00D66167">
              <w:t>17,7</w:t>
            </w:r>
          </w:p>
        </w:tc>
      </w:tr>
      <w:tr w:rsidR="00830024" w:rsidRPr="00D66167" w14:paraId="1DFAFE3E" w14:textId="77777777" w:rsidTr="00D66167">
        <w:trPr>
          <w:trHeight w:val="300"/>
        </w:trPr>
        <w:tc>
          <w:tcPr>
            <w:tcW w:w="2689" w:type="dxa"/>
            <w:shd w:val="clear" w:color="auto" w:fill="66FFFF"/>
            <w:noWrap/>
            <w:tcMar>
              <w:left w:w="28" w:type="dxa"/>
              <w:right w:w="28" w:type="dxa"/>
            </w:tcMar>
            <w:vAlign w:val="center"/>
          </w:tcPr>
          <w:p w14:paraId="4616FB61" w14:textId="77777777" w:rsidR="00830024" w:rsidRPr="00D66167" w:rsidRDefault="00830024" w:rsidP="00D66167">
            <w:pPr>
              <w:widowControl w:val="0"/>
              <w:spacing w:line="193" w:lineRule="atLeast"/>
            </w:pPr>
            <w:r w:rsidRPr="00D66167">
              <w:t>Odhad počtu předčasných úmrtí a rozpětí odhadu</w:t>
            </w:r>
          </w:p>
        </w:tc>
        <w:tc>
          <w:tcPr>
            <w:tcW w:w="1418" w:type="dxa"/>
            <w:shd w:val="clear" w:color="auto" w:fill="auto"/>
            <w:tcMar>
              <w:left w:w="28" w:type="dxa"/>
              <w:right w:w="28" w:type="dxa"/>
            </w:tcMar>
            <w:vAlign w:val="center"/>
          </w:tcPr>
          <w:p w14:paraId="7AB68855" w14:textId="77777777" w:rsidR="00830024" w:rsidRPr="00D66167" w:rsidRDefault="00830024" w:rsidP="00D66167">
            <w:pPr>
              <w:widowControl w:val="0"/>
              <w:spacing w:line="193" w:lineRule="atLeast"/>
              <w:jc w:val="center"/>
            </w:pPr>
            <w:r w:rsidRPr="00D66167">
              <w:t>3 900</w:t>
            </w:r>
          </w:p>
          <w:p w14:paraId="47992BC0" w14:textId="77777777" w:rsidR="00830024" w:rsidRPr="00D66167" w:rsidRDefault="00830024" w:rsidP="00D66167">
            <w:pPr>
              <w:widowControl w:val="0"/>
              <w:spacing w:line="193" w:lineRule="atLeast"/>
              <w:jc w:val="center"/>
            </w:pPr>
            <w:r w:rsidRPr="00D66167">
              <w:t>(1300-12700)</w:t>
            </w:r>
          </w:p>
        </w:tc>
        <w:tc>
          <w:tcPr>
            <w:tcW w:w="1418" w:type="dxa"/>
            <w:shd w:val="clear" w:color="auto" w:fill="auto"/>
            <w:tcMar>
              <w:left w:w="28" w:type="dxa"/>
              <w:right w:w="28" w:type="dxa"/>
            </w:tcMar>
            <w:vAlign w:val="center"/>
          </w:tcPr>
          <w:p w14:paraId="5A303CCA" w14:textId="77777777" w:rsidR="00830024" w:rsidRPr="00D66167" w:rsidRDefault="00830024" w:rsidP="00D66167">
            <w:pPr>
              <w:widowControl w:val="0"/>
              <w:spacing w:line="193" w:lineRule="atLeast"/>
              <w:jc w:val="center"/>
            </w:pPr>
            <w:r w:rsidRPr="00D66167">
              <w:t>1 700</w:t>
            </w:r>
          </w:p>
          <w:p w14:paraId="0798FBA3" w14:textId="77777777" w:rsidR="00830024" w:rsidRPr="00D66167" w:rsidRDefault="00830024" w:rsidP="00D66167">
            <w:pPr>
              <w:widowControl w:val="0"/>
              <w:spacing w:line="193" w:lineRule="atLeast"/>
              <w:jc w:val="center"/>
            </w:pPr>
            <w:r w:rsidRPr="00D66167">
              <w:t>(0-9700)</w:t>
            </w:r>
          </w:p>
        </w:tc>
        <w:tc>
          <w:tcPr>
            <w:tcW w:w="1418" w:type="dxa"/>
            <w:shd w:val="clear" w:color="auto" w:fill="auto"/>
            <w:tcMar>
              <w:left w:w="28" w:type="dxa"/>
              <w:right w:w="28" w:type="dxa"/>
            </w:tcMar>
            <w:vAlign w:val="center"/>
          </w:tcPr>
          <w:p w14:paraId="12FA3F0F" w14:textId="77777777" w:rsidR="00830024" w:rsidRPr="00D66167" w:rsidRDefault="00830024" w:rsidP="00D66167">
            <w:pPr>
              <w:widowControl w:val="0"/>
              <w:spacing w:line="193" w:lineRule="atLeast"/>
              <w:jc w:val="center"/>
            </w:pPr>
            <w:r w:rsidRPr="00D66167">
              <w:t>1,7%</w:t>
            </w:r>
          </w:p>
          <w:p w14:paraId="2551E7AF" w14:textId="77777777" w:rsidR="00830024" w:rsidRPr="00D66167" w:rsidRDefault="00830024" w:rsidP="00D66167">
            <w:pPr>
              <w:widowControl w:val="0"/>
              <w:spacing w:line="193" w:lineRule="atLeast"/>
              <w:jc w:val="center"/>
            </w:pPr>
            <w:r w:rsidRPr="00D66167">
              <w:t>(0 % – 6,0%)</w:t>
            </w:r>
          </w:p>
        </w:tc>
        <w:tc>
          <w:tcPr>
            <w:tcW w:w="1418" w:type="dxa"/>
            <w:shd w:val="clear" w:color="auto" w:fill="auto"/>
            <w:tcMar>
              <w:left w:w="28" w:type="dxa"/>
              <w:right w:w="28" w:type="dxa"/>
            </w:tcMar>
          </w:tcPr>
          <w:p w14:paraId="5231F81E" w14:textId="77777777" w:rsidR="00830024" w:rsidRPr="00D66167" w:rsidRDefault="00830024" w:rsidP="00D66167">
            <w:pPr>
              <w:widowControl w:val="0"/>
              <w:spacing w:line="193" w:lineRule="atLeast"/>
              <w:jc w:val="center"/>
            </w:pPr>
            <w:r w:rsidRPr="00D66167">
              <w:t>1,2%</w:t>
            </w:r>
          </w:p>
          <w:p w14:paraId="6208850B" w14:textId="77777777" w:rsidR="00830024" w:rsidRPr="00D66167" w:rsidRDefault="00830024" w:rsidP="00D66167">
            <w:pPr>
              <w:widowControl w:val="0"/>
              <w:spacing w:line="193" w:lineRule="atLeast"/>
              <w:jc w:val="center"/>
            </w:pPr>
            <w:proofErr w:type="gramStart"/>
            <w:r w:rsidRPr="00D66167">
              <w:t>( 0 %- 7,9</w:t>
            </w:r>
            <w:proofErr w:type="gramEnd"/>
            <w:r w:rsidRPr="00D66167">
              <w:t xml:space="preserve"> %)</w:t>
            </w:r>
          </w:p>
        </w:tc>
        <w:tc>
          <w:tcPr>
            <w:tcW w:w="1418" w:type="dxa"/>
          </w:tcPr>
          <w:p w14:paraId="7BE4D148" w14:textId="77777777" w:rsidR="00830024" w:rsidRPr="00D66167" w:rsidRDefault="00830024" w:rsidP="00D66167">
            <w:pPr>
              <w:widowControl w:val="0"/>
              <w:spacing w:line="193" w:lineRule="atLeast"/>
              <w:jc w:val="center"/>
            </w:pPr>
            <w:r w:rsidRPr="00D66167">
              <w:t>1,1 %</w:t>
            </w:r>
          </w:p>
          <w:p w14:paraId="143DB2A4" w14:textId="77777777" w:rsidR="00830024" w:rsidRPr="00D66167" w:rsidRDefault="00830024" w:rsidP="00D66167">
            <w:pPr>
              <w:widowControl w:val="0"/>
              <w:spacing w:line="193" w:lineRule="atLeast"/>
              <w:jc w:val="center"/>
            </w:pPr>
            <w:proofErr w:type="gramStart"/>
            <w:r w:rsidRPr="00D66167">
              <w:t>(0 %–4,24</w:t>
            </w:r>
            <w:proofErr w:type="gramEnd"/>
            <w:r w:rsidRPr="00D66167">
              <w:t xml:space="preserve"> %)</w:t>
            </w:r>
          </w:p>
        </w:tc>
      </w:tr>
    </w:tbl>
    <w:p w14:paraId="40F860FF" w14:textId="5877C227" w:rsidR="00830024" w:rsidRPr="00D66167" w:rsidRDefault="00D66167" w:rsidP="00830024">
      <w:pPr>
        <w:pStyle w:val="DefaultText1"/>
        <w:spacing w:before="120"/>
        <w:jc w:val="both"/>
        <w:rPr>
          <w:rFonts w:ascii="Mulish" w:hAnsi="Mulish"/>
          <w:sz w:val="22"/>
          <w:szCs w:val="22"/>
        </w:rPr>
      </w:pPr>
      <w:r w:rsidRPr="00D66167">
        <w:rPr>
          <w:rFonts w:ascii="Mulish" w:hAnsi="Mulish"/>
          <w:sz w:val="22"/>
          <w:szCs w:val="22"/>
        </w:rPr>
        <w:t xml:space="preserve">Tabulka č. </w:t>
      </w:r>
      <w:r w:rsidRPr="00D66167">
        <w:rPr>
          <w:rFonts w:ascii="Mulish" w:hAnsi="Mulish"/>
          <w:sz w:val="22"/>
          <w:szCs w:val="22"/>
        </w:rPr>
        <w:fldChar w:fldCharType="begin"/>
      </w:r>
      <w:r w:rsidRPr="00D66167">
        <w:rPr>
          <w:rFonts w:ascii="Mulish" w:hAnsi="Mulish"/>
          <w:sz w:val="22"/>
          <w:szCs w:val="22"/>
        </w:rPr>
        <w:instrText xml:space="preserve"> SEQ Tabulka_č._ \* ARABIC </w:instrText>
      </w:r>
      <w:r w:rsidRPr="00D66167">
        <w:rPr>
          <w:rFonts w:ascii="Mulish" w:hAnsi="Mulish"/>
          <w:sz w:val="22"/>
          <w:szCs w:val="22"/>
        </w:rPr>
        <w:fldChar w:fldCharType="separate"/>
      </w:r>
      <w:r w:rsidR="00D30EF9">
        <w:rPr>
          <w:rFonts w:ascii="Mulish" w:hAnsi="Mulish"/>
          <w:noProof/>
          <w:sz w:val="22"/>
          <w:szCs w:val="22"/>
        </w:rPr>
        <w:t>14</w:t>
      </w:r>
      <w:r w:rsidRPr="00D66167">
        <w:rPr>
          <w:rFonts w:ascii="Mulish" w:hAnsi="Mulish"/>
          <w:sz w:val="22"/>
          <w:szCs w:val="22"/>
        </w:rPr>
        <w:fldChar w:fldCharType="end"/>
      </w:r>
      <w:r w:rsidRPr="00D66167">
        <w:rPr>
          <w:rFonts w:ascii="Mulish" w:hAnsi="Mulish"/>
          <w:sz w:val="22"/>
          <w:szCs w:val="22"/>
        </w:rPr>
        <w:t xml:space="preserve">. </w:t>
      </w:r>
      <w:r w:rsidR="00830024" w:rsidRPr="00D66167">
        <w:rPr>
          <w:rFonts w:ascii="Mulish" w:hAnsi="Mulish"/>
          <w:sz w:val="22"/>
          <w:szCs w:val="22"/>
        </w:rPr>
        <w:t>Průběh odhadu hodnot navýšení celkové roční úmrtnosti o „předčasná úmrtí“ - střední hodnota a rozpětí hodnot v ČR za posledních deset let – tj. za období 2013 až 2022.</w:t>
      </w:r>
    </w:p>
    <w:p w14:paraId="13ADF3A0" w14:textId="77777777" w:rsidR="00830024" w:rsidRPr="00D66167" w:rsidRDefault="00830024" w:rsidP="00830024">
      <w:pPr>
        <w:pStyle w:val="DefaultText1"/>
        <w:spacing w:before="120"/>
        <w:jc w:val="both"/>
        <w:rPr>
          <w:rFonts w:ascii="Mulish" w:hAnsi="Mulish"/>
          <w:sz w:val="22"/>
          <w:szCs w:val="22"/>
        </w:rPr>
      </w:pPr>
      <w:r w:rsidRPr="00D66167">
        <w:rPr>
          <w:rFonts w:ascii="Mulish" w:hAnsi="Mulish"/>
          <w:sz w:val="22"/>
          <w:szCs w:val="22"/>
        </w:rPr>
        <w:t>Pro reálnou nemožnost odhadnout populační riziko pro roky 2020 až 2022 (zvýšená celková úmrtnost v těchto letech v rámci epidemie Covid-19) je odhad vyjádřen pouze formou procent.</w:t>
      </w:r>
    </w:p>
    <w:p w14:paraId="13680490" w14:textId="77777777" w:rsidR="00830024" w:rsidRPr="00D66167" w:rsidRDefault="00830024" w:rsidP="00830024">
      <w:pPr>
        <w:pStyle w:val="DefaultText1"/>
        <w:spacing w:before="120"/>
        <w:jc w:val="both"/>
        <w:rPr>
          <w:rFonts w:ascii="Mulish" w:hAnsi="Mulish"/>
          <w:i/>
          <w:sz w:val="20"/>
          <w:szCs w:val="20"/>
        </w:rPr>
      </w:pPr>
      <w:r w:rsidRPr="00D66167">
        <w:rPr>
          <w:rFonts w:ascii="Mulish" w:hAnsi="Mulish"/>
          <w:i/>
          <w:sz w:val="20"/>
          <w:szCs w:val="20"/>
        </w:rPr>
        <w:t xml:space="preserve">Poznámky: </w:t>
      </w:r>
    </w:p>
    <w:p w14:paraId="1883CE13" w14:textId="77777777" w:rsidR="00830024" w:rsidRPr="00D66167" w:rsidRDefault="00830024" w:rsidP="00D66167">
      <w:pPr>
        <w:pStyle w:val="DefaultText1"/>
        <w:numPr>
          <w:ilvl w:val="0"/>
          <w:numId w:val="16"/>
        </w:numPr>
        <w:ind w:left="357" w:hanging="357"/>
        <w:jc w:val="both"/>
        <w:rPr>
          <w:rFonts w:ascii="Mulish" w:hAnsi="Mulish"/>
          <w:i/>
          <w:sz w:val="20"/>
          <w:szCs w:val="20"/>
        </w:rPr>
      </w:pPr>
      <w:r w:rsidRPr="00D66167">
        <w:rPr>
          <w:rFonts w:ascii="Mulish" w:hAnsi="Mulish"/>
          <w:i/>
          <w:sz w:val="20"/>
          <w:szCs w:val="20"/>
        </w:rPr>
        <w:t>Navýšení celkové úmrtnosti bylo počítáno z rozpětí měřených hodnot v ČR a z odhadu střední městské hodnoty pro Českou republiku. K odhadu průměrné městské hodnoty (městského pozadí) byla použita střední roční hmotnostní koncentrace vypočtená pro stanice charakterizující městské obytné zóny. Koncentrace byly zaokrouhleny na 1 desetinné místo.</w:t>
      </w:r>
    </w:p>
    <w:p w14:paraId="13856681" w14:textId="77777777" w:rsidR="00830024" w:rsidRPr="00D66167" w:rsidRDefault="00830024" w:rsidP="00D66167">
      <w:pPr>
        <w:pStyle w:val="DefaultText1"/>
        <w:numPr>
          <w:ilvl w:val="0"/>
          <w:numId w:val="16"/>
        </w:numPr>
        <w:ind w:left="357" w:hanging="357"/>
        <w:jc w:val="both"/>
        <w:rPr>
          <w:rFonts w:ascii="Mulish" w:hAnsi="Mulish"/>
          <w:i/>
          <w:sz w:val="20"/>
          <w:szCs w:val="20"/>
        </w:rPr>
      </w:pPr>
      <w:r w:rsidRPr="00D66167">
        <w:rPr>
          <w:rFonts w:ascii="Mulish" w:hAnsi="Mulish"/>
          <w:i/>
          <w:sz w:val="20"/>
          <w:szCs w:val="20"/>
        </w:rPr>
        <w:t>Hodnoty celkové roční úmrtnosti byly převzaty z podkladů ČSÚ.</w:t>
      </w:r>
    </w:p>
    <w:p w14:paraId="7FBA0DCB" w14:textId="7916B693" w:rsidR="00830024" w:rsidRPr="00D66167" w:rsidRDefault="00830024" w:rsidP="00D66167">
      <w:pPr>
        <w:pStyle w:val="DefaultText1"/>
        <w:numPr>
          <w:ilvl w:val="0"/>
          <w:numId w:val="21"/>
        </w:numPr>
        <w:jc w:val="both"/>
        <w:rPr>
          <w:rFonts w:ascii="Mulish" w:hAnsi="Mulish"/>
          <w:i/>
          <w:sz w:val="20"/>
          <w:szCs w:val="20"/>
        </w:rPr>
      </w:pPr>
      <w:r w:rsidRPr="00D66167">
        <w:rPr>
          <w:rFonts w:ascii="Mulish" w:hAnsi="Mulish"/>
          <w:i/>
          <w:sz w:val="20"/>
          <w:szCs w:val="20"/>
        </w:rPr>
        <w:t>Při přepočtu účinků PM</w:t>
      </w:r>
      <w:r w:rsidRPr="00D66167">
        <w:rPr>
          <w:rFonts w:ascii="Mulish" w:hAnsi="Mulish"/>
          <w:i/>
          <w:sz w:val="20"/>
          <w:szCs w:val="20"/>
          <w:vertAlign w:val="subscript"/>
        </w:rPr>
        <w:t>10</w:t>
      </w:r>
      <w:r w:rsidRPr="00D66167">
        <w:rPr>
          <w:rFonts w:ascii="Mulish" w:hAnsi="Mulish"/>
          <w:i/>
          <w:sz w:val="20"/>
          <w:szCs w:val="20"/>
        </w:rPr>
        <w:t xml:space="preserve"> bylo použito doporučení WHO (září 2021), v dikci téhož byly zpětně přepočteny roku 2007 až 20</w:t>
      </w:r>
      <w:r w:rsidR="00D66167">
        <w:rPr>
          <w:rFonts w:ascii="Mulish" w:hAnsi="Mulish"/>
          <w:i/>
          <w:sz w:val="20"/>
          <w:szCs w:val="20"/>
        </w:rPr>
        <w:t>21</w:t>
      </w:r>
      <w:r w:rsidRPr="00D66167">
        <w:rPr>
          <w:rFonts w:ascii="Mulish" w:hAnsi="Mulish"/>
          <w:i/>
          <w:sz w:val="20"/>
          <w:szCs w:val="20"/>
        </w:rPr>
        <w:t xml:space="preserve">. </w:t>
      </w:r>
    </w:p>
    <w:p w14:paraId="1FB02806" w14:textId="77777777" w:rsidR="00830024" w:rsidRPr="00D66167" w:rsidRDefault="00830024" w:rsidP="00D66167">
      <w:pPr>
        <w:pStyle w:val="DefaultText1"/>
        <w:numPr>
          <w:ilvl w:val="0"/>
          <w:numId w:val="21"/>
        </w:numPr>
        <w:jc w:val="both"/>
        <w:rPr>
          <w:rFonts w:ascii="Mulish" w:hAnsi="Mulish"/>
          <w:i/>
          <w:sz w:val="20"/>
          <w:szCs w:val="20"/>
        </w:rPr>
      </w:pPr>
      <w:r w:rsidRPr="00D66167">
        <w:rPr>
          <w:rFonts w:ascii="Mulish" w:hAnsi="Mulish"/>
          <w:i/>
          <w:sz w:val="20"/>
          <w:szCs w:val="20"/>
        </w:rPr>
        <w:t>Výsledky jsou zaokrouhleny na celé stovky.</w:t>
      </w:r>
      <w:r w:rsidRPr="00D66167">
        <w:rPr>
          <w:rFonts w:ascii="Mulish" w:hAnsi="Mulish"/>
          <w:i/>
          <w:sz w:val="20"/>
          <w:szCs w:val="20"/>
        </w:rPr>
        <w:br w:type="page"/>
      </w:r>
    </w:p>
    <w:p w14:paraId="43FC2AA6" w14:textId="77777777" w:rsidR="00830024" w:rsidRPr="00D66167" w:rsidRDefault="00830024" w:rsidP="00D66167">
      <w:pPr>
        <w:pStyle w:val="Nadpis2"/>
        <w:keepLines w:val="0"/>
        <w:autoSpaceDE/>
        <w:autoSpaceDN/>
        <w:adjustRightInd/>
        <w:spacing w:before="0" w:line="240" w:lineRule="auto"/>
        <w:textAlignment w:val="auto"/>
        <w:rPr>
          <w:sz w:val="28"/>
          <w:szCs w:val="28"/>
        </w:rPr>
      </w:pPr>
      <w:r w:rsidRPr="00D66167">
        <w:rPr>
          <w:sz w:val="28"/>
          <w:szCs w:val="28"/>
        </w:rPr>
        <w:lastRenderedPageBreak/>
        <w:t>Příloha č. 2</w:t>
      </w:r>
    </w:p>
    <w:p w14:paraId="3BFCEC2F" w14:textId="5E801CAC" w:rsidR="00830024" w:rsidRPr="00D66167" w:rsidRDefault="00830024" w:rsidP="00830024">
      <w:pPr>
        <w:pStyle w:val="DefaultText1"/>
        <w:spacing w:before="120"/>
        <w:jc w:val="both"/>
        <w:rPr>
          <w:rFonts w:ascii="Mulish" w:hAnsi="Mulish"/>
          <w:sz w:val="22"/>
          <w:szCs w:val="22"/>
        </w:rPr>
      </w:pPr>
      <w:r w:rsidRPr="00D66167">
        <w:rPr>
          <w:rFonts w:ascii="Mulish" w:hAnsi="Mulish"/>
          <w:sz w:val="22"/>
          <w:szCs w:val="22"/>
        </w:rPr>
        <w:t>Průběhy ročních hodnot PM</w:t>
      </w:r>
      <w:r w:rsidRPr="00D66167">
        <w:rPr>
          <w:rFonts w:ascii="Mulish" w:hAnsi="Mulish"/>
          <w:sz w:val="22"/>
          <w:szCs w:val="22"/>
          <w:vertAlign w:val="subscript"/>
        </w:rPr>
        <w:t>10</w:t>
      </w:r>
      <w:r w:rsidRPr="00D66167">
        <w:rPr>
          <w:rFonts w:ascii="Mulish" w:hAnsi="Mulish"/>
          <w:sz w:val="22"/>
          <w:szCs w:val="22"/>
        </w:rPr>
        <w:t>, PM</w:t>
      </w:r>
      <w:r w:rsidRPr="00D66167">
        <w:rPr>
          <w:rFonts w:ascii="Mulish" w:hAnsi="Mulish"/>
          <w:sz w:val="22"/>
          <w:szCs w:val="22"/>
          <w:vertAlign w:val="subscript"/>
        </w:rPr>
        <w:t>2,5</w:t>
      </w:r>
      <w:r w:rsidRPr="00D66167">
        <w:rPr>
          <w:rFonts w:ascii="Mulish" w:hAnsi="Mulish"/>
          <w:sz w:val="22"/>
          <w:szCs w:val="22"/>
        </w:rPr>
        <w:t>, BaP, Ni, As od roku 1997 v obytných městských lokalitách a odhad hodnoty lineárního trendu za posledních deset let</w:t>
      </w:r>
    </w:p>
    <w:p w14:paraId="4DA2BC36" w14:textId="4429B49E" w:rsidR="00830024" w:rsidRPr="00D66167" w:rsidRDefault="009E5139" w:rsidP="00830024">
      <w:pPr>
        <w:rPr>
          <w:sz w:val="22"/>
          <w:szCs w:val="22"/>
        </w:rPr>
      </w:pPr>
      <w:r w:rsidRPr="00D66167">
        <w:rPr>
          <w:noProof/>
          <w:color w:val="FF0000"/>
          <w:sz w:val="22"/>
          <w:szCs w:val="22"/>
          <w:lang w:eastAsia="cs-CZ"/>
        </w:rPr>
        <w:drawing>
          <wp:anchor distT="0" distB="0" distL="114300" distR="114300" simplePos="0" relativeHeight="251665408" behindDoc="0" locked="0" layoutInCell="1" allowOverlap="0" wp14:anchorId="71B5E979" wp14:editId="7DCA80C2">
            <wp:simplePos x="0" y="0"/>
            <wp:positionH relativeFrom="column">
              <wp:posOffset>251460</wp:posOffset>
            </wp:positionH>
            <wp:positionV relativeFrom="page">
              <wp:posOffset>2438400</wp:posOffset>
            </wp:positionV>
            <wp:extent cx="5713730" cy="7105650"/>
            <wp:effectExtent l="0" t="0" r="127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3730" cy="7105650"/>
                    </a:xfrm>
                    <a:prstGeom prst="rect">
                      <a:avLst/>
                    </a:prstGeom>
                    <a:noFill/>
                  </pic:spPr>
                </pic:pic>
              </a:graphicData>
            </a:graphic>
            <wp14:sizeRelH relativeFrom="margin">
              <wp14:pctWidth>0</wp14:pctWidth>
            </wp14:sizeRelH>
            <wp14:sizeRelV relativeFrom="margin">
              <wp14:pctHeight>0</wp14:pctHeight>
            </wp14:sizeRelV>
          </wp:anchor>
        </w:drawing>
      </w:r>
      <w:r w:rsidR="00830024" w:rsidRPr="00D66167">
        <w:rPr>
          <w:color w:val="FF0000"/>
          <w:sz w:val="22"/>
          <w:szCs w:val="22"/>
        </w:rPr>
        <w:br w:type="page"/>
      </w:r>
      <w:r w:rsidR="00830024" w:rsidRPr="00D66167">
        <w:rPr>
          <w:sz w:val="22"/>
          <w:szCs w:val="22"/>
        </w:rPr>
        <w:lastRenderedPageBreak/>
        <w:t xml:space="preserve">Tabulka č. </w:t>
      </w:r>
      <w:r w:rsidR="00830024" w:rsidRPr="00D66167">
        <w:rPr>
          <w:sz w:val="22"/>
          <w:szCs w:val="22"/>
        </w:rPr>
        <w:fldChar w:fldCharType="begin"/>
      </w:r>
      <w:r w:rsidR="00830024" w:rsidRPr="00D66167">
        <w:rPr>
          <w:sz w:val="22"/>
          <w:szCs w:val="22"/>
        </w:rPr>
        <w:instrText xml:space="preserve"> SEQ Tabulka_č._ \* ARABIC </w:instrText>
      </w:r>
      <w:r w:rsidR="00830024" w:rsidRPr="00D66167">
        <w:rPr>
          <w:sz w:val="22"/>
          <w:szCs w:val="22"/>
        </w:rPr>
        <w:fldChar w:fldCharType="separate"/>
      </w:r>
      <w:r w:rsidR="00D30EF9">
        <w:rPr>
          <w:noProof/>
          <w:sz w:val="22"/>
          <w:szCs w:val="22"/>
        </w:rPr>
        <w:t>1</w:t>
      </w:r>
      <w:bookmarkStart w:id="29" w:name="_GoBack"/>
      <w:bookmarkEnd w:id="29"/>
      <w:r w:rsidR="00D30EF9">
        <w:rPr>
          <w:noProof/>
          <w:sz w:val="22"/>
          <w:szCs w:val="22"/>
        </w:rPr>
        <w:t>5</w:t>
      </w:r>
      <w:r w:rsidR="00830024" w:rsidRPr="00D66167">
        <w:rPr>
          <w:sz w:val="22"/>
          <w:szCs w:val="22"/>
        </w:rPr>
        <w:fldChar w:fldCharType="end"/>
      </w:r>
      <w:r w:rsidR="00830024" w:rsidRPr="00D66167">
        <w:rPr>
          <w:sz w:val="22"/>
          <w:szCs w:val="22"/>
        </w:rPr>
        <w:t>. 2022 - stanice s nejvyššími a nejnižšími ročními průměry</w:t>
      </w:r>
    </w:p>
    <w:tbl>
      <w:tblPr>
        <w:tblStyle w:val="Mkatabulky"/>
        <w:tblW w:w="0" w:type="auto"/>
        <w:tblLook w:val="04A0" w:firstRow="1" w:lastRow="0" w:firstColumn="1" w:lastColumn="0" w:noHBand="0" w:noVBand="1"/>
      </w:tblPr>
      <w:tblGrid>
        <w:gridCol w:w="1951"/>
        <w:gridCol w:w="3544"/>
        <w:gridCol w:w="3685"/>
      </w:tblGrid>
      <w:tr w:rsidR="00830024" w:rsidRPr="00D66167" w14:paraId="276096C7" w14:textId="77777777" w:rsidTr="00830024">
        <w:tc>
          <w:tcPr>
            <w:tcW w:w="1951" w:type="dxa"/>
            <w:shd w:val="clear" w:color="auto" w:fill="66FFFF"/>
          </w:tcPr>
          <w:p w14:paraId="771B5521" w14:textId="77777777" w:rsidR="00830024" w:rsidRPr="006B5E35" w:rsidRDefault="00830024" w:rsidP="00830024">
            <w:pPr>
              <w:rPr>
                <w:b/>
                <w:sz w:val="22"/>
                <w:szCs w:val="22"/>
              </w:rPr>
            </w:pPr>
            <w:r w:rsidRPr="006B5E35">
              <w:rPr>
                <w:b/>
                <w:sz w:val="22"/>
                <w:szCs w:val="22"/>
              </w:rPr>
              <w:t>Měřená veličina</w:t>
            </w:r>
          </w:p>
        </w:tc>
        <w:tc>
          <w:tcPr>
            <w:tcW w:w="3544" w:type="dxa"/>
            <w:shd w:val="clear" w:color="auto" w:fill="66FFFF"/>
          </w:tcPr>
          <w:p w14:paraId="6E9DDA4E" w14:textId="77777777" w:rsidR="00830024" w:rsidRPr="006B5E35" w:rsidRDefault="00830024" w:rsidP="00830024">
            <w:pPr>
              <w:jc w:val="center"/>
              <w:rPr>
                <w:b/>
                <w:sz w:val="22"/>
                <w:szCs w:val="22"/>
              </w:rPr>
            </w:pPr>
            <w:r w:rsidRPr="006B5E35">
              <w:rPr>
                <w:b/>
                <w:sz w:val="22"/>
                <w:szCs w:val="22"/>
              </w:rPr>
              <w:t>MIN</w:t>
            </w:r>
          </w:p>
        </w:tc>
        <w:tc>
          <w:tcPr>
            <w:tcW w:w="3685" w:type="dxa"/>
            <w:shd w:val="clear" w:color="auto" w:fill="66FFFF"/>
          </w:tcPr>
          <w:p w14:paraId="38CCE456" w14:textId="77777777" w:rsidR="00830024" w:rsidRPr="006B5E35" w:rsidRDefault="00830024" w:rsidP="00830024">
            <w:pPr>
              <w:jc w:val="center"/>
              <w:rPr>
                <w:b/>
                <w:sz w:val="22"/>
                <w:szCs w:val="22"/>
              </w:rPr>
            </w:pPr>
            <w:r w:rsidRPr="006B5E35">
              <w:rPr>
                <w:b/>
                <w:sz w:val="22"/>
                <w:szCs w:val="22"/>
              </w:rPr>
              <w:t>MAX</w:t>
            </w:r>
          </w:p>
        </w:tc>
      </w:tr>
      <w:tr w:rsidR="00D00416" w:rsidRPr="00D00416" w14:paraId="3D6A23E3" w14:textId="77777777" w:rsidTr="00830024">
        <w:tc>
          <w:tcPr>
            <w:tcW w:w="1951" w:type="dxa"/>
            <w:shd w:val="clear" w:color="auto" w:fill="66FFFF"/>
          </w:tcPr>
          <w:p w14:paraId="3F851A79" w14:textId="77777777" w:rsidR="00830024" w:rsidRPr="00D00416" w:rsidRDefault="00830024" w:rsidP="00830024">
            <w:pPr>
              <w:rPr>
                <w:color w:val="auto"/>
              </w:rPr>
            </w:pPr>
            <w:r w:rsidRPr="00D00416">
              <w:rPr>
                <w:color w:val="auto"/>
              </w:rPr>
              <w:t>SO</w:t>
            </w:r>
            <w:r w:rsidRPr="00D00416">
              <w:rPr>
                <w:color w:val="auto"/>
                <w:vertAlign w:val="subscript"/>
              </w:rPr>
              <w:t>2</w:t>
            </w:r>
          </w:p>
        </w:tc>
        <w:tc>
          <w:tcPr>
            <w:tcW w:w="3544" w:type="dxa"/>
          </w:tcPr>
          <w:p w14:paraId="7055670D" w14:textId="4C43F821" w:rsidR="00830024" w:rsidRPr="00D00416" w:rsidRDefault="00830024" w:rsidP="00D00416">
            <w:pPr>
              <w:rPr>
                <w:color w:val="auto"/>
              </w:rPr>
            </w:pPr>
            <w:r w:rsidRPr="00D00416">
              <w:rPr>
                <w:color w:val="auto"/>
              </w:rPr>
              <w:t xml:space="preserve">Košetice </w:t>
            </w:r>
            <w:r w:rsidR="00D00416" w:rsidRPr="00D00416">
              <w:rPr>
                <w:color w:val="auto"/>
              </w:rPr>
              <w:t>–</w:t>
            </w:r>
            <w:r w:rsidRPr="00D00416">
              <w:rPr>
                <w:color w:val="auto"/>
              </w:rPr>
              <w:t xml:space="preserve"> </w:t>
            </w:r>
            <w:r w:rsidR="00D00416" w:rsidRPr="00D00416">
              <w:rPr>
                <w:color w:val="auto"/>
              </w:rPr>
              <w:t>1,1</w:t>
            </w:r>
            <w:r w:rsidRPr="00D00416">
              <w:rPr>
                <w:color w:val="auto"/>
              </w:rPr>
              <w:t xml:space="preserve"> µg/m</w:t>
            </w:r>
            <w:r w:rsidRPr="00D00416">
              <w:rPr>
                <w:color w:val="auto"/>
                <w:vertAlign w:val="superscript"/>
              </w:rPr>
              <w:t>3</w:t>
            </w:r>
          </w:p>
        </w:tc>
        <w:tc>
          <w:tcPr>
            <w:tcW w:w="3685" w:type="dxa"/>
          </w:tcPr>
          <w:p w14:paraId="175F486C" w14:textId="00B097E4" w:rsidR="00830024" w:rsidRPr="00D00416" w:rsidRDefault="00D00416" w:rsidP="00D00416">
            <w:pPr>
              <w:rPr>
                <w:color w:val="auto"/>
              </w:rPr>
            </w:pPr>
            <w:r w:rsidRPr="00D00416">
              <w:rPr>
                <w:color w:val="auto"/>
              </w:rPr>
              <w:t>Ostrava Radvanice</w:t>
            </w:r>
            <w:r w:rsidR="00830024" w:rsidRPr="00D00416">
              <w:rPr>
                <w:color w:val="auto"/>
              </w:rPr>
              <w:t xml:space="preserve"> - 14,</w:t>
            </w:r>
            <w:r w:rsidRPr="00D00416">
              <w:rPr>
                <w:color w:val="auto"/>
              </w:rPr>
              <w:t>2</w:t>
            </w:r>
            <w:r w:rsidR="00830024" w:rsidRPr="00D00416">
              <w:rPr>
                <w:color w:val="auto"/>
              </w:rPr>
              <w:t xml:space="preserve"> µg/m</w:t>
            </w:r>
            <w:r w:rsidR="00830024" w:rsidRPr="00D00416">
              <w:rPr>
                <w:color w:val="auto"/>
                <w:vertAlign w:val="superscript"/>
              </w:rPr>
              <w:t>3</w:t>
            </w:r>
          </w:p>
        </w:tc>
      </w:tr>
      <w:tr w:rsidR="009D2B88" w:rsidRPr="009D2B88" w14:paraId="6310F344" w14:textId="77777777" w:rsidTr="00830024">
        <w:tc>
          <w:tcPr>
            <w:tcW w:w="1951" w:type="dxa"/>
            <w:shd w:val="clear" w:color="auto" w:fill="66FFFF"/>
          </w:tcPr>
          <w:p w14:paraId="2BEF8E56" w14:textId="77777777" w:rsidR="00830024" w:rsidRPr="009D2B88" w:rsidRDefault="00830024" w:rsidP="00830024">
            <w:pPr>
              <w:rPr>
                <w:color w:val="auto"/>
              </w:rPr>
            </w:pPr>
            <w:r w:rsidRPr="009D2B88">
              <w:rPr>
                <w:color w:val="auto"/>
              </w:rPr>
              <w:t>NO</w:t>
            </w:r>
          </w:p>
        </w:tc>
        <w:tc>
          <w:tcPr>
            <w:tcW w:w="3544" w:type="dxa"/>
          </w:tcPr>
          <w:p w14:paraId="20344F0A" w14:textId="498E8261" w:rsidR="00830024" w:rsidRPr="009D2B88" w:rsidRDefault="009D2B88" w:rsidP="009D2B88">
            <w:pPr>
              <w:rPr>
                <w:color w:val="auto"/>
              </w:rPr>
            </w:pPr>
            <w:r w:rsidRPr="009D2B88">
              <w:rPr>
                <w:color w:val="auto"/>
              </w:rPr>
              <w:t>Košetice</w:t>
            </w:r>
            <w:r w:rsidR="00830024" w:rsidRPr="009D2B88">
              <w:rPr>
                <w:color w:val="auto"/>
              </w:rPr>
              <w:t xml:space="preserve"> - 0,3 µg/m</w:t>
            </w:r>
            <w:r w:rsidR="00830024" w:rsidRPr="009D2B88">
              <w:rPr>
                <w:color w:val="auto"/>
                <w:vertAlign w:val="superscript"/>
              </w:rPr>
              <w:t>3</w:t>
            </w:r>
          </w:p>
        </w:tc>
        <w:tc>
          <w:tcPr>
            <w:tcW w:w="3685" w:type="dxa"/>
          </w:tcPr>
          <w:p w14:paraId="11C8E54A" w14:textId="091E123F" w:rsidR="00830024" w:rsidRPr="009D2B88" w:rsidRDefault="009D2B88" w:rsidP="009D2B88">
            <w:pPr>
              <w:rPr>
                <w:color w:val="auto"/>
              </w:rPr>
            </w:pPr>
            <w:r w:rsidRPr="009D2B88">
              <w:rPr>
                <w:color w:val="auto"/>
              </w:rPr>
              <w:t>Praha 2 Legerova</w:t>
            </w:r>
            <w:r w:rsidR="00830024" w:rsidRPr="009D2B88">
              <w:rPr>
                <w:color w:val="auto"/>
              </w:rPr>
              <w:t xml:space="preserve"> - 3</w:t>
            </w:r>
            <w:r w:rsidRPr="009D2B88">
              <w:rPr>
                <w:color w:val="auto"/>
              </w:rPr>
              <w:t>0</w:t>
            </w:r>
            <w:r w:rsidR="00830024" w:rsidRPr="009D2B88">
              <w:rPr>
                <w:color w:val="auto"/>
              </w:rPr>
              <w:t>,</w:t>
            </w:r>
            <w:r w:rsidRPr="009D2B88">
              <w:rPr>
                <w:color w:val="auto"/>
              </w:rPr>
              <w:t>9</w:t>
            </w:r>
            <w:r w:rsidR="00830024" w:rsidRPr="009D2B88">
              <w:rPr>
                <w:color w:val="auto"/>
              </w:rPr>
              <w:t xml:space="preserve"> µg/m</w:t>
            </w:r>
            <w:r w:rsidR="00830024" w:rsidRPr="009D2B88">
              <w:rPr>
                <w:color w:val="auto"/>
                <w:vertAlign w:val="superscript"/>
              </w:rPr>
              <w:t>3</w:t>
            </w:r>
          </w:p>
        </w:tc>
      </w:tr>
      <w:tr w:rsidR="00830024" w:rsidRPr="00D66167" w14:paraId="43F8ACF5" w14:textId="77777777" w:rsidTr="00830024">
        <w:tc>
          <w:tcPr>
            <w:tcW w:w="1951" w:type="dxa"/>
            <w:shd w:val="clear" w:color="auto" w:fill="66FFFF"/>
          </w:tcPr>
          <w:p w14:paraId="1C515810" w14:textId="77777777" w:rsidR="00830024" w:rsidRPr="006B5E35" w:rsidRDefault="00830024" w:rsidP="00830024">
            <w:pPr>
              <w:rPr>
                <w:color w:val="FF0000"/>
              </w:rPr>
            </w:pPr>
            <w:r w:rsidRPr="006B5E35">
              <w:t>NO</w:t>
            </w:r>
            <w:r w:rsidRPr="006B5E35">
              <w:rPr>
                <w:vertAlign w:val="subscript"/>
              </w:rPr>
              <w:t>2</w:t>
            </w:r>
          </w:p>
        </w:tc>
        <w:tc>
          <w:tcPr>
            <w:tcW w:w="3544" w:type="dxa"/>
          </w:tcPr>
          <w:p w14:paraId="77AC27EA" w14:textId="77777777" w:rsidR="00830024" w:rsidRPr="006B5E35" w:rsidRDefault="00830024" w:rsidP="00830024">
            <w:r w:rsidRPr="006B5E35">
              <w:t>Churáňov - 1,7 µg/m</w:t>
            </w:r>
            <w:r w:rsidRPr="006B5E35">
              <w:rPr>
                <w:vertAlign w:val="superscript"/>
              </w:rPr>
              <w:t>3</w:t>
            </w:r>
          </w:p>
        </w:tc>
        <w:tc>
          <w:tcPr>
            <w:tcW w:w="3685" w:type="dxa"/>
          </w:tcPr>
          <w:p w14:paraId="22842E80" w14:textId="77777777" w:rsidR="00830024" w:rsidRPr="006B5E35" w:rsidRDefault="00830024" w:rsidP="00830024">
            <w:r w:rsidRPr="006B5E35">
              <w:t>Praha 2 Legerova - 39,5 µg/m</w:t>
            </w:r>
            <w:r w:rsidRPr="006B5E35">
              <w:rPr>
                <w:vertAlign w:val="superscript"/>
              </w:rPr>
              <w:t>3</w:t>
            </w:r>
          </w:p>
        </w:tc>
      </w:tr>
      <w:tr w:rsidR="009E5139" w:rsidRPr="009E5139" w14:paraId="4F99871E" w14:textId="77777777" w:rsidTr="00830024">
        <w:tc>
          <w:tcPr>
            <w:tcW w:w="1951" w:type="dxa"/>
            <w:shd w:val="clear" w:color="auto" w:fill="66FFFF"/>
          </w:tcPr>
          <w:p w14:paraId="360FFF48" w14:textId="77777777" w:rsidR="00830024" w:rsidRPr="009E5139" w:rsidRDefault="00830024" w:rsidP="00830024">
            <w:pPr>
              <w:rPr>
                <w:color w:val="auto"/>
              </w:rPr>
            </w:pPr>
            <w:r w:rsidRPr="009E5139">
              <w:rPr>
                <w:color w:val="auto"/>
              </w:rPr>
              <w:t>NO</w:t>
            </w:r>
            <w:r w:rsidRPr="009E5139">
              <w:rPr>
                <w:color w:val="auto"/>
                <w:vertAlign w:val="subscript"/>
              </w:rPr>
              <w:t>X</w:t>
            </w:r>
          </w:p>
        </w:tc>
        <w:tc>
          <w:tcPr>
            <w:tcW w:w="3544" w:type="dxa"/>
          </w:tcPr>
          <w:p w14:paraId="1EC1438D" w14:textId="58293BC2" w:rsidR="00830024" w:rsidRPr="009E5139" w:rsidRDefault="00830024" w:rsidP="009E5139">
            <w:pPr>
              <w:rPr>
                <w:color w:val="auto"/>
              </w:rPr>
            </w:pPr>
            <w:r w:rsidRPr="009E5139">
              <w:rPr>
                <w:color w:val="auto"/>
              </w:rPr>
              <w:t>Churáňov - 2,</w:t>
            </w:r>
            <w:r w:rsidR="009E5139" w:rsidRPr="009E5139">
              <w:rPr>
                <w:color w:val="auto"/>
              </w:rPr>
              <w:t>5</w:t>
            </w:r>
            <w:r w:rsidRPr="009E5139">
              <w:rPr>
                <w:color w:val="auto"/>
              </w:rPr>
              <w:t xml:space="preserve"> µg/m</w:t>
            </w:r>
            <w:r w:rsidRPr="009E5139">
              <w:rPr>
                <w:color w:val="auto"/>
                <w:vertAlign w:val="superscript"/>
              </w:rPr>
              <w:t>3</w:t>
            </w:r>
          </w:p>
        </w:tc>
        <w:tc>
          <w:tcPr>
            <w:tcW w:w="3685" w:type="dxa"/>
          </w:tcPr>
          <w:p w14:paraId="77493C41" w14:textId="4E8DABB3" w:rsidR="00830024" w:rsidRPr="009E5139" w:rsidRDefault="009E5139" w:rsidP="003E1757">
            <w:pPr>
              <w:rPr>
                <w:color w:val="auto"/>
              </w:rPr>
            </w:pPr>
            <w:r w:rsidRPr="009E5139">
              <w:rPr>
                <w:color w:val="auto"/>
              </w:rPr>
              <w:t>Praha 2</w:t>
            </w:r>
            <w:r w:rsidR="003E1757">
              <w:rPr>
                <w:color w:val="auto"/>
              </w:rPr>
              <w:t xml:space="preserve"> </w:t>
            </w:r>
            <w:r w:rsidRPr="009E5139">
              <w:rPr>
                <w:color w:val="auto"/>
              </w:rPr>
              <w:t>Legerova – 86,8</w:t>
            </w:r>
            <w:r w:rsidR="00830024" w:rsidRPr="009E5139">
              <w:rPr>
                <w:color w:val="auto"/>
              </w:rPr>
              <w:t xml:space="preserve"> µg/m</w:t>
            </w:r>
            <w:r w:rsidR="00830024" w:rsidRPr="009E5139">
              <w:rPr>
                <w:color w:val="auto"/>
                <w:vertAlign w:val="superscript"/>
              </w:rPr>
              <w:t>3</w:t>
            </w:r>
          </w:p>
        </w:tc>
      </w:tr>
      <w:tr w:rsidR="009D2B88" w:rsidRPr="009D2B88" w14:paraId="326EF03F" w14:textId="77777777" w:rsidTr="00830024">
        <w:tc>
          <w:tcPr>
            <w:tcW w:w="1951" w:type="dxa"/>
            <w:shd w:val="clear" w:color="auto" w:fill="66FFFF"/>
          </w:tcPr>
          <w:p w14:paraId="4FE16D54" w14:textId="77777777" w:rsidR="00830024" w:rsidRPr="009D2B88" w:rsidRDefault="00830024" w:rsidP="00830024">
            <w:pPr>
              <w:rPr>
                <w:color w:val="auto"/>
              </w:rPr>
            </w:pPr>
            <w:r w:rsidRPr="009D2B88">
              <w:rPr>
                <w:color w:val="auto"/>
              </w:rPr>
              <w:t>CO</w:t>
            </w:r>
          </w:p>
        </w:tc>
        <w:tc>
          <w:tcPr>
            <w:tcW w:w="3544" w:type="dxa"/>
          </w:tcPr>
          <w:p w14:paraId="162C0AC8" w14:textId="2E480E9E" w:rsidR="00830024" w:rsidRPr="009D2B88" w:rsidRDefault="00830024" w:rsidP="009D2B88">
            <w:pPr>
              <w:rPr>
                <w:color w:val="auto"/>
              </w:rPr>
            </w:pPr>
            <w:r w:rsidRPr="009D2B88">
              <w:rPr>
                <w:color w:val="auto"/>
              </w:rPr>
              <w:t xml:space="preserve">Košetice - </w:t>
            </w:r>
            <w:r w:rsidR="009D2B88" w:rsidRPr="009D2B88">
              <w:rPr>
                <w:color w:val="auto"/>
              </w:rPr>
              <w:t>195</w:t>
            </w:r>
            <w:r w:rsidRPr="009D2B88">
              <w:rPr>
                <w:color w:val="auto"/>
              </w:rPr>
              <w:t xml:space="preserve"> µg/m</w:t>
            </w:r>
            <w:r w:rsidRPr="009D2B88">
              <w:rPr>
                <w:color w:val="auto"/>
                <w:vertAlign w:val="superscript"/>
              </w:rPr>
              <w:t>3</w:t>
            </w:r>
          </w:p>
        </w:tc>
        <w:tc>
          <w:tcPr>
            <w:tcW w:w="3685" w:type="dxa"/>
          </w:tcPr>
          <w:p w14:paraId="32A65746" w14:textId="1D56F4E4" w:rsidR="00830024" w:rsidRPr="009D2B88" w:rsidRDefault="00830024" w:rsidP="009D2B88">
            <w:pPr>
              <w:rPr>
                <w:color w:val="auto"/>
              </w:rPr>
            </w:pPr>
            <w:r w:rsidRPr="009D2B88">
              <w:rPr>
                <w:color w:val="auto"/>
              </w:rPr>
              <w:t>Ostrava Radvanice - 6</w:t>
            </w:r>
            <w:r w:rsidR="009D2B88" w:rsidRPr="009D2B88">
              <w:rPr>
                <w:color w:val="auto"/>
              </w:rPr>
              <w:t>14</w:t>
            </w:r>
            <w:r w:rsidRPr="009D2B88">
              <w:rPr>
                <w:color w:val="auto"/>
              </w:rPr>
              <w:t xml:space="preserve"> µg/m</w:t>
            </w:r>
            <w:r w:rsidRPr="009D2B88">
              <w:rPr>
                <w:color w:val="auto"/>
                <w:vertAlign w:val="superscript"/>
              </w:rPr>
              <w:t>3</w:t>
            </w:r>
          </w:p>
        </w:tc>
      </w:tr>
      <w:tr w:rsidR="009D2B88" w:rsidRPr="009D2B88" w14:paraId="208B2512" w14:textId="77777777" w:rsidTr="00830024">
        <w:tc>
          <w:tcPr>
            <w:tcW w:w="1951" w:type="dxa"/>
            <w:shd w:val="clear" w:color="auto" w:fill="66FFFF"/>
          </w:tcPr>
          <w:p w14:paraId="6503763A" w14:textId="77777777" w:rsidR="00830024" w:rsidRPr="009D2B88" w:rsidRDefault="00830024" w:rsidP="00830024">
            <w:pPr>
              <w:rPr>
                <w:color w:val="auto"/>
              </w:rPr>
            </w:pPr>
            <w:r w:rsidRPr="009D2B88">
              <w:rPr>
                <w:color w:val="auto"/>
              </w:rPr>
              <w:t>O</w:t>
            </w:r>
            <w:r w:rsidRPr="009D2B88">
              <w:rPr>
                <w:color w:val="auto"/>
                <w:vertAlign w:val="subscript"/>
              </w:rPr>
              <w:t>3</w:t>
            </w:r>
          </w:p>
        </w:tc>
        <w:tc>
          <w:tcPr>
            <w:tcW w:w="3544" w:type="dxa"/>
          </w:tcPr>
          <w:p w14:paraId="50DB8B00" w14:textId="2D8AEC50" w:rsidR="00830024" w:rsidRPr="009D2B88" w:rsidRDefault="009D2B88" w:rsidP="009D2B88">
            <w:pPr>
              <w:rPr>
                <w:color w:val="auto"/>
              </w:rPr>
            </w:pPr>
            <w:r w:rsidRPr="009D2B88">
              <w:rPr>
                <w:color w:val="auto"/>
              </w:rPr>
              <w:t>Hranice</w:t>
            </w:r>
            <w:r w:rsidR="00830024" w:rsidRPr="009D2B88">
              <w:rPr>
                <w:color w:val="auto"/>
              </w:rPr>
              <w:t xml:space="preserve"> - 3</w:t>
            </w:r>
            <w:r w:rsidRPr="009D2B88">
              <w:rPr>
                <w:color w:val="auto"/>
              </w:rPr>
              <w:t>9</w:t>
            </w:r>
            <w:r w:rsidR="00830024" w:rsidRPr="009D2B88">
              <w:rPr>
                <w:color w:val="auto"/>
              </w:rPr>
              <w:t>,6 µg/m</w:t>
            </w:r>
            <w:r w:rsidR="00830024" w:rsidRPr="009D2B88">
              <w:rPr>
                <w:color w:val="auto"/>
                <w:vertAlign w:val="superscript"/>
              </w:rPr>
              <w:t>3</w:t>
            </w:r>
          </w:p>
        </w:tc>
        <w:tc>
          <w:tcPr>
            <w:tcW w:w="3685" w:type="dxa"/>
          </w:tcPr>
          <w:p w14:paraId="1170697A" w14:textId="1D1256CC" w:rsidR="00830024" w:rsidRPr="009D2B88" w:rsidRDefault="009D2B88" w:rsidP="009D2B88">
            <w:pPr>
              <w:rPr>
                <w:color w:val="auto"/>
              </w:rPr>
            </w:pPr>
            <w:proofErr w:type="spellStart"/>
            <w:r w:rsidRPr="009D2B88">
              <w:rPr>
                <w:color w:val="auto"/>
              </w:rPr>
              <w:t>Rýchory</w:t>
            </w:r>
            <w:proofErr w:type="spellEnd"/>
            <w:r w:rsidR="00830024" w:rsidRPr="009D2B88">
              <w:rPr>
                <w:color w:val="auto"/>
              </w:rPr>
              <w:t xml:space="preserve"> </w:t>
            </w:r>
            <w:r w:rsidRPr="009D2B88">
              <w:rPr>
                <w:color w:val="auto"/>
              </w:rPr>
              <w:t>–</w:t>
            </w:r>
            <w:r w:rsidR="00830024" w:rsidRPr="009D2B88">
              <w:rPr>
                <w:color w:val="auto"/>
              </w:rPr>
              <w:t xml:space="preserve"> 7</w:t>
            </w:r>
            <w:r w:rsidRPr="009D2B88">
              <w:rPr>
                <w:color w:val="auto"/>
              </w:rPr>
              <w:t>4,5</w:t>
            </w:r>
            <w:r w:rsidR="00830024" w:rsidRPr="009D2B88">
              <w:rPr>
                <w:color w:val="auto"/>
              </w:rPr>
              <w:t xml:space="preserve"> µg/m</w:t>
            </w:r>
            <w:r w:rsidR="00830024" w:rsidRPr="009D2B88">
              <w:rPr>
                <w:color w:val="auto"/>
                <w:vertAlign w:val="superscript"/>
              </w:rPr>
              <w:t>3</w:t>
            </w:r>
          </w:p>
        </w:tc>
      </w:tr>
      <w:tr w:rsidR="00830024" w:rsidRPr="00D66167" w14:paraId="456C1D47" w14:textId="77777777" w:rsidTr="00830024">
        <w:tc>
          <w:tcPr>
            <w:tcW w:w="1951" w:type="dxa"/>
            <w:shd w:val="clear" w:color="auto" w:fill="66FFFF"/>
          </w:tcPr>
          <w:p w14:paraId="1519DC6A" w14:textId="77777777" w:rsidR="00830024" w:rsidRPr="006B5E35" w:rsidRDefault="00830024" w:rsidP="00830024">
            <w:r w:rsidRPr="006B5E35">
              <w:t>PM</w:t>
            </w:r>
            <w:r w:rsidRPr="006B5E35">
              <w:rPr>
                <w:vertAlign w:val="subscript"/>
              </w:rPr>
              <w:t>10</w:t>
            </w:r>
          </w:p>
        </w:tc>
        <w:tc>
          <w:tcPr>
            <w:tcW w:w="3544" w:type="dxa"/>
          </w:tcPr>
          <w:p w14:paraId="1C297CD1" w14:textId="77777777" w:rsidR="00830024" w:rsidRPr="006B5E35" w:rsidRDefault="00830024" w:rsidP="00830024">
            <w:r w:rsidRPr="006B5E35">
              <w:t>Churáňov - 8,2 µg/m</w:t>
            </w:r>
            <w:r w:rsidRPr="006B5E35">
              <w:rPr>
                <w:vertAlign w:val="superscript"/>
              </w:rPr>
              <w:t>3</w:t>
            </w:r>
          </w:p>
        </w:tc>
        <w:tc>
          <w:tcPr>
            <w:tcW w:w="3685" w:type="dxa"/>
          </w:tcPr>
          <w:p w14:paraId="7EA61B24" w14:textId="77777777" w:rsidR="00830024" w:rsidRPr="006B5E35" w:rsidRDefault="00830024" w:rsidP="00830024">
            <w:r w:rsidRPr="006B5E35">
              <w:t>Ostrava Radvanice – 31,2 µg/m</w:t>
            </w:r>
            <w:r w:rsidRPr="006B5E35">
              <w:rPr>
                <w:vertAlign w:val="superscript"/>
              </w:rPr>
              <w:t>3</w:t>
            </w:r>
          </w:p>
        </w:tc>
      </w:tr>
      <w:tr w:rsidR="00830024" w:rsidRPr="00D66167" w14:paraId="50D1AF32" w14:textId="77777777" w:rsidTr="00830024">
        <w:tc>
          <w:tcPr>
            <w:tcW w:w="1951" w:type="dxa"/>
            <w:shd w:val="clear" w:color="auto" w:fill="66FFFF"/>
          </w:tcPr>
          <w:p w14:paraId="5FAC0788" w14:textId="77777777" w:rsidR="00830024" w:rsidRPr="006B5E35" w:rsidRDefault="00830024" w:rsidP="00830024">
            <w:r w:rsidRPr="006B5E35">
              <w:t>PM</w:t>
            </w:r>
            <w:r w:rsidRPr="006B5E35">
              <w:rPr>
                <w:vertAlign w:val="subscript"/>
              </w:rPr>
              <w:t>2,5</w:t>
            </w:r>
          </w:p>
        </w:tc>
        <w:tc>
          <w:tcPr>
            <w:tcW w:w="3544" w:type="dxa"/>
          </w:tcPr>
          <w:p w14:paraId="65A9C4F8" w14:textId="77777777" w:rsidR="00830024" w:rsidRPr="006B5E35" w:rsidRDefault="00830024" w:rsidP="00830024">
            <w:r w:rsidRPr="006B5E35">
              <w:t>Churáňov – 5,1 µg/m</w:t>
            </w:r>
            <w:r w:rsidRPr="006B5E35">
              <w:rPr>
                <w:vertAlign w:val="superscript"/>
              </w:rPr>
              <w:t>3</w:t>
            </w:r>
          </w:p>
        </w:tc>
        <w:tc>
          <w:tcPr>
            <w:tcW w:w="3685" w:type="dxa"/>
          </w:tcPr>
          <w:p w14:paraId="3CF652C2" w14:textId="77777777" w:rsidR="00830024" w:rsidRPr="006B5E35" w:rsidRDefault="00830024" w:rsidP="00830024">
            <w:r w:rsidRPr="006B5E35">
              <w:t>Ostrava Radvanice – 24,4 µg/m</w:t>
            </w:r>
            <w:r w:rsidRPr="006B5E35">
              <w:rPr>
                <w:vertAlign w:val="superscript"/>
              </w:rPr>
              <w:t>3</w:t>
            </w:r>
          </w:p>
        </w:tc>
      </w:tr>
      <w:tr w:rsidR="00830024" w:rsidRPr="00D66167" w14:paraId="10D4D1C6" w14:textId="77777777" w:rsidTr="00830024">
        <w:tc>
          <w:tcPr>
            <w:tcW w:w="1951" w:type="dxa"/>
            <w:shd w:val="clear" w:color="auto" w:fill="66FFFF"/>
          </w:tcPr>
          <w:p w14:paraId="173AFF63" w14:textId="77777777" w:rsidR="00830024" w:rsidRPr="006B5E35" w:rsidRDefault="00830024" w:rsidP="00830024">
            <w:r w:rsidRPr="006B5E35">
              <w:t>As</w:t>
            </w:r>
          </w:p>
        </w:tc>
        <w:tc>
          <w:tcPr>
            <w:tcW w:w="3544" w:type="dxa"/>
          </w:tcPr>
          <w:p w14:paraId="4D6433DC" w14:textId="77777777" w:rsidR="00830024" w:rsidRPr="006B5E35" w:rsidRDefault="00830024" w:rsidP="00830024">
            <w:r w:rsidRPr="006B5E35">
              <w:t xml:space="preserve">Č. Hora – 0,5 </w:t>
            </w:r>
            <w:proofErr w:type="spellStart"/>
            <w:r w:rsidRPr="006B5E35">
              <w:t>ng</w:t>
            </w:r>
            <w:proofErr w:type="spellEnd"/>
            <w:r w:rsidRPr="006B5E35">
              <w:t>/m</w:t>
            </w:r>
            <w:r w:rsidRPr="006B5E35">
              <w:rPr>
                <w:vertAlign w:val="superscript"/>
              </w:rPr>
              <w:t>3</w:t>
            </w:r>
          </w:p>
        </w:tc>
        <w:tc>
          <w:tcPr>
            <w:tcW w:w="3685" w:type="dxa"/>
          </w:tcPr>
          <w:p w14:paraId="18264FEC" w14:textId="77777777" w:rsidR="00830024" w:rsidRPr="006B5E35" w:rsidRDefault="00830024" w:rsidP="00830024">
            <w:proofErr w:type="spellStart"/>
            <w:r w:rsidRPr="006B5E35">
              <w:t>Vrapice</w:t>
            </w:r>
            <w:proofErr w:type="spellEnd"/>
            <w:r w:rsidRPr="006B5E35">
              <w:t xml:space="preserve"> - 5,3 </w:t>
            </w:r>
            <w:proofErr w:type="spellStart"/>
            <w:r w:rsidRPr="006B5E35">
              <w:t>ng</w:t>
            </w:r>
            <w:proofErr w:type="spellEnd"/>
            <w:r w:rsidRPr="006B5E35">
              <w:t>/m</w:t>
            </w:r>
            <w:r w:rsidRPr="006B5E35">
              <w:rPr>
                <w:vertAlign w:val="superscript"/>
              </w:rPr>
              <w:t>3</w:t>
            </w:r>
          </w:p>
        </w:tc>
      </w:tr>
      <w:tr w:rsidR="00830024" w:rsidRPr="00D66167" w14:paraId="5A727E92" w14:textId="77777777" w:rsidTr="00830024">
        <w:tc>
          <w:tcPr>
            <w:tcW w:w="1951" w:type="dxa"/>
            <w:shd w:val="clear" w:color="auto" w:fill="66FFFF"/>
          </w:tcPr>
          <w:p w14:paraId="4F8065E1" w14:textId="77777777" w:rsidR="00830024" w:rsidRPr="006B5E35" w:rsidRDefault="00830024" w:rsidP="00830024">
            <w:r w:rsidRPr="006B5E35">
              <w:t>Cd</w:t>
            </w:r>
          </w:p>
        </w:tc>
        <w:tc>
          <w:tcPr>
            <w:tcW w:w="3544" w:type="dxa"/>
          </w:tcPr>
          <w:p w14:paraId="0BD1577C" w14:textId="77777777" w:rsidR="00830024" w:rsidRPr="006B5E35" w:rsidRDefault="00830024" w:rsidP="00830024">
            <w:r w:rsidRPr="006B5E35">
              <w:t xml:space="preserve">Churáňov - </w:t>
            </w:r>
            <w:r w:rsidRPr="006B5E35">
              <w:rPr>
                <w:lang w:val="en-GB"/>
              </w:rPr>
              <w:t xml:space="preserve">&lt; </w:t>
            </w:r>
            <w:r w:rsidRPr="006B5E35">
              <w:t xml:space="preserve">0,05 </w:t>
            </w:r>
            <w:proofErr w:type="spellStart"/>
            <w:r w:rsidRPr="006B5E35">
              <w:t>ng</w:t>
            </w:r>
            <w:proofErr w:type="spellEnd"/>
            <w:r w:rsidRPr="006B5E35">
              <w:t>/m</w:t>
            </w:r>
            <w:r w:rsidRPr="006B5E35">
              <w:rPr>
                <w:vertAlign w:val="superscript"/>
              </w:rPr>
              <w:t>3</w:t>
            </w:r>
          </w:p>
        </w:tc>
        <w:tc>
          <w:tcPr>
            <w:tcW w:w="3685" w:type="dxa"/>
          </w:tcPr>
          <w:p w14:paraId="7915F55A" w14:textId="77777777" w:rsidR="00830024" w:rsidRPr="006B5E35" w:rsidRDefault="00830024" w:rsidP="00830024">
            <w:r w:rsidRPr="006B5E35">
              <w:t xml:space="preserve">Tanvald – 2,2 </w:t>
            </w:r>
            <w:proofErr w:type="spellStart"/>
            <w:r w:rsidRPr="006B5E35">
              <w:t>ng</w:t>
            </w:r>
            <w:proofErr w:type="spellEnd"/>
            <w:r w:rsidRPr="006B5E35">
              <w:t>/m</w:t>
            </w:r>
            <w:r w:rsidRPr="006B5E35">
              <w:rPr>
                <w:vertAlign w:val="superscript"/>
              </w:rPr>
              <w:t>3</w:t>
            </w:r>
          </w:p>
        </w:tc>
      </w:tr>
      <w:tr w:rsidR="00830024" w:rsidRPr="00D66167" w14:paraId="03E1F38A" w14:textId="77777777" w:rsidTr="00830024">
        <w:tc>
          <w:tcPr>
            <w:tcW w:w="1951" w:type="dxa"/>
            <w:shd w:val="clear" w:color="auto" w:fill="66FFFF"/>
          </w:tcPr>
          <w:p w14:paraId="756E910F" w14:textId="77777777" w:rsidR="00830024" w:rsidRPr="006B5E35" w:rsidRDefault="00830024" w:rsidP="00830024">
            <w:r w:rsidRPr="006B5E35">
              <w:t>Ni</w:t>
            </w:r>
          </w:p>
        </w:tc>
        <w:tc>
          <w:tcPr>
            <w:tcW w:w="3544" w:type="dxa"/>
          </w:tcPr>
          <w:p w14:paraId="2DBFED7A" w14:textId="77777777" w:rsidR="00830024" w:rsidRPr="006B5E35" w:rsidRDefault="00830024" w:rsidP="00830024">
            <w:r w:rsidRPr="006B5E35">
              <w:t xml:space="preserve">Churáňov – 0,2 </w:t>
            </w:r>
            <w:proofErr w:type="spellStart"/>
            <w:r w:rsidRPr="006B5E35">
              <w:t>ng</w:t>
            </w:r>
            <w:proofErr w:type="spellEnd"/>
            <w:r w:rsidRPr="006B5E35">
              <w:t>/m</w:t>
            </w:r>
            <w:r w:rsidRPr="006B5E35">
              <w:rPr>
                <w:vertAlign w:val="superscript"/>
              </w:rPr>
              <w:t>3</w:t>
            </w:r>
          </w:p>
        </w:tc>
        <w:tc>
          <w:tcPr>
            <w:tcW w:w="3685" w:type="dxa"/>
          </w:tcPr>
          <w:p w14:paraId="37063311" w14:textId="77777777" w:rsidR="00830024" w:rsidRPr="006B5E35" w:rsidRDefault="00830024" w:rsidP="00830024">
            <w:r w:rsidRPr="006B5E35">
              <w:t xml:space="preserve">Heřmanice – 6,6 </w:t>
            </w:r>
            <w:proofErr w:type="spellStart"/>
            <w:r w:rsidRPr="006B5E35">
              <w:t>ng</w:t>
            </w:r>
            <w:proofErr w:type="spellEnd"/>
            <w:r w:rsidRPr="006B5E35">
              <w:t>/m</w:t>
            </w:r>
            <w:r w:rsidRPr="006B5E35">
              <w:rPr>
                <w:vertAlign w:val="superscript"/>
              </w:rPr>
              <w:t>3</w:t>
            </w:r>
          </w:p>
        </w:tc>
      </w:tr>
      <w:tr w:rsidR="00830024" w:rsidRPr="00D66167" w14:paraId="754C9C10" w14:textId="77777777" w:rsidTr="00830024">
        <w:tc>
          <w:tcPr>
            <w:tcW w:w="1951" w:type="dxa"/>
            <w:shd w:val="clear" w:color="auto" w:fill="66FFFF"/>
          </w:tcPr>
          <w:p w14:paraId="0E4898E1" w14:textId="77777777" w:rsidR="00830024" w:rsidRPr="006B5E35" w:rsidRDefault="00830024" w:rsidP="00830024">
            <w:proofErr w:type="spellStart"/>
            <w:r w:rsidRPr="006B5E35">
              <w:t>Pb</w:t>
            </w:r>
            <w:proofErr w:type="spellEnd"/>
          </w:p>
        </w:tc>
        <w:tc>
          <w:tcPr>
            <w:tcW w:w="3544" w:type="dxa"/>
          </w:tcPr>
          <w:p w14:paraId="121D9581" w14:textId="77777777" w:rsidR="00830024" w:rsidRPr="006B5E35" w:rsidRDefault="00830024" w:rsidP="00830024">
            <w:r w:rsidRPr="006B5E35">
              <w:t xml:space="preserve">Churáňov – 1,1 </w:t>
            </w:r>
            <w:proofErr w:type="spellStart"/>
            <w:r w:rsidRPr="006B5E35">
              <w:t>ng</w:t>
            </w:r>
            <w:proofErr w:type="spellEnd"/>
            <w:r w:rsidRPr="006B5E35">
              <w:t>/m</w:t>
            </w:r>
            <w:r w:rsidRPr="006B5E35">
              <w:rPr>
                <w:vertAlign w:val="superscript"/>
              </w:rPr>
              <w:t>3</w:t>
            </w:r>
          </w:p>
        </w:tc>
        <w:tc>
          <w:tcPr>
            <w:tcW w:w="3685" w:type="dxa"/>
          </w:tcPr>
          <w:p w14:paraId="13FD3E52" w14:textId="77777777" w:rsidR="00830024" w:rsidRPr="006B5E35" w:rsidRDefault="00830024" w:rsidP="00830024">
            <w:r w:rsidRPr="006B5E35">
              <w:t xml:space="preserve">Ostrava Radvanice – 51,6 </w:t>
            </w:r>
            <w:proofErr w:type="spellStart"/>
            <w:r w:rsidRPr="006B5E35">
              <w:t>ng</w:t>
            </w:r>
            <w:proofErr w:type="spellEnd"/>
            <w:r w:rsidRPr="006B5E35">
              <w:t>/m</w:t>
            </w:r>
            <w:r w:rsidRPr="006B5E35">
              <w:rPr>
                <w:vertAlign w:val="superscript"/>
              </w:rPr>
              <w:t>3</w:t>
            </w:r>
          </w:p>
        </w:tc>
      </w:tr>
      <w:tr w:rsidR="00830024" w:rsidRPr="00D66167" w14:paraId="1758B63F" w14:textId="77777777" w:rsidTr="00830024">
        <w:tc>
          <w:tcPr>
            <w:tcW w:w="1951" w:type="dxa"/>
            <w:shd w:val="clear" w:color="auto" w:fill="66FFFF"/>
          </w:tcPr>
          <w:p w14:paraId="170C0E92" w14:textId="77777777" w:rsidR="00830024" w:rsidRPr="006B5E35" w:rsidRDefault="00830024" w:rsidP="00830024">
            <w:r w:rsidRPr="006B5E35">
              <w:t>Benzen</w:t>
            </w:r>
          </w:p>
        </w:tc>
        <w:tc>
          <w:tcPr>
            <w:tcW w:w="3544" w:type="dxa"/>
          </w:tcPr>
          <w:p w14:paraId="4497BB26" w14:textId="77777777" w:rsidR="00830024" w:rsidRPr="006B5E35" w:rsidRDefault="00830024" w:rsidP="00830024">
            <w:r w:rsidRPr="006B5E35">
              <w:t>Nošovice – 0,5 µg/m</w:t>
            </w:r>
            <w:r w:rsidRPr="006B5E35">
              <w:rPr>
                <w:vertAlign w:val="superscript"/>
              </w:rPr>
              <w:t>3</w:t>
            </w:r>
          </w:p>
        </w:tc>
        <w:tc>
          <w:tcPr>
            <w:tcW w:w="3685" w:type="dxa"/>
          </w:tcPr>
          <w:p w14:paraId="0BF37EEB" w14:textId="77777777" w:rsidR="00830024" w:rsidRPr="006B5E35" w:rsidRDefault="00830024" w:rsidP="00830024">
            <w:r w:rsidRPr="006B5E35">
              <w:t>Ostrava Přívoz – 4,6 µg/m</w:t>
            </w:r>
            <w:r w:rsidRPr="006B5E35">
              <w:rPr>
                <w:vertAlign w:val="superscript"/>
              </w:rPr>
              <w:t>3</w:t>
            </w:r>
          </w:p>
        </w:tc>
      </w:tr>
      <w:tr w:rsidR="00830024" w:rsidRPr="00D66167" w14:paraId="1BC0916E" w14:textId="77777777" w:rsidTr="00830024">
        <w:tc>
          <w:tcPr>
            <w:tcW w:w="1951" w:type="dxa"/>
            <w:shd w:val="clear" w:color="auto" w:fill="66FFFF"/>
          </w:tcPr>
          <w:p w14:paraId="41543D31" w14:textId="77777777" w:rsidR="00830024" w:rsidRPr="006B5E35" w:rsidRDefault="00830024" w:rsidP="00830024">
            <w:r w:rsidRPr="006B5E35">
              <w:t>BaP</w:t>
            </w:r>
          </w:p>
        </w:tc>
        <w:tc>
          <w:tcPr>
            <w:tcW w:w="3544" w:type="dxa"/>
          </w:tcPr>
          <w:p w14:paraId="57BC6461" w14:textId="77777777" w:rsidR="00830024" w:rsidRPr="006B5E35" w:rsidRDefault="00830024" w:rsidP="00830024">
            <w:r w:rsidRPr="006B5E35">
              <w:t xml:space="preserve">Košetice - 0,20 </w:t>
            </w:r>
            <w:proofErr w:type="spellStart"/>
            <w:r w:rsidRPr="006B5E35">
              <w:t>ng</w:t>
            </w:r>
            <w:proofErr w:type="spellEnd"/>
            <w:r w:rsidRPr="006B5E35">
              <w:t>/m</w:t>
            </w:r>
            <w:r w:rsidRPr="006B5E35">
              <w:rPr>
                <w:vertAlign w:val="superscript"/>
              </w:rPr>
              <w:t>3</w:t>
            </w:r>
          </w:p>
        </w:tc>
        <w:tc>
          <w:tcPr>
            <w:tcW w:w="3685" w:type="dxa"/>
          </w:tcPr>
          <w:p w14:paraId="7163C66F" w14:textId="77777777" w:rsidR="00830024" w:rsidRPr="006B5E35" w:rsidRDefault="00830024" w:rsidP="00830024">
            <w:r w:rsidRPr="006B5E35">
              <w:t xml:space="preserve">Ostrava Radvanice – 6,0 </w:t>
            </w:r>
            <w:proofErr w:type="spellStart"/>
            <w:r w:rsidRPr="006B5E35">
              <w:t>ng</w:t>
            </w:r>
            <w:proofErr w:type="spellEnd"/>
            <w:r w:rsidRPr="006B5E35">
              <w:t>/m</w:t>
            </w:r>
            <w:r w:rsidRPr="006B5E35">
              <w:rPr>
                <w:vertAlign w:val="superscript"/>
              </w:rPr>
              <w:t>3</w:t>
            </w:r>
          </w:p>
        </w:tc>
      </w:tr>
    </w:tbl>
    <w:p w14:paraId="4597DB3D" w14:textId="77777777" w:rsidR="00830024" w:rsidRPr="00D66167" w:rsidRDefault="00830024" w:rsidP="00830024">
      <w:pPr>
        <w:rPr>
          <w:color w:val="FF0000"/>
          <w:sz w:val="22"/>
          <w:szCs w:val="22"/>
        </w:rPr>
      </w:pPr>
    </w:p>
    <w:p w14:paraId="6DC2886D" w14:textId="77777777" w:rsidR="00830024" w:rsidRPr="00D66167" w:rsidRDefault="00830024" w:rsidP="00830024">
      <w:pPr>
        <w:rPr>
          <w:color w:val="FF0000"/>
          <w:sz w:val="22"/>
          <w:szCs w:val="22"/>
        </w:rPr>
      </w:pPr>
      <w:r w:rsidRPr="00D66167">
        <w:rPr>
          <w:color w:val="FF0000"/>
          <w:sz w:val="22"/>
          <w:szCs w:val="22"/>
        </w:rPr>
        <w:br w:type="page"/>
      </w:r>
    </w:p>
    <w:p w14:paraId="62630CDF" w14:textId="77777777" w:rsidR="006B5E35" w:rsidRDefault="006B5E35" w:rsidP="00D66167">
      <w:pPr>
        <w:pStyle w:val="Nadpis2"/>
        <w:keepLines w:val="0"/>
        <w:autoSpaceDE/>
        <w:autoSpaceDN/>
        <w:adjustRightInd/>
        <w:spacing w:before="0" w:line="240" w:lineRule="auto"/>
        <w:textAlignment w:val="auto"/>
        <w:rPr>
          <w:sz w:val="28"/>
          <w:szCs w:val="28"/>
        </w:rPr>
      </w:pPr>
    </w:p>
    <w:p w14:paraId="5AF8B28F" w14:textId="61D924BB" w:rsidR="00830024" w:rsidRPr="00D66167" w:rsidRDefault="00830024" w:rsidP="00D66167">
      <w:pPr>
        <w:pStyle w:val="Nadpis2"/>
        <w:keepLines w:val="0"/>
        <w:autoSpaceDE/>
        <w:autoSpaceDN/>
        <w:adjustRightInd/>
        <w:spacing w:before="0" w:line="240" w:lineRule="auto"/>
        <w:textAlignment w:val="auto"/>
        <w:rPr>
          <w:sz w:val="28"/>
          <w:szCs w:val="28"/>
        </w:rPr>
      </w:pPr>
      <w:r w:rsidRPr="00D66167">
        <w:rPr>
          <w:sz w:val="28"/>
          <w:szCs w:val="28"/>
        </w:rPr>
        <w:t>Příloha č. 3 - k Předkládací zprávě</w:t>
      </w:r>
    </w:p>
    <w:p w14:paraId="11E7069F" w14:textId="77777777" w:rsidR="00830024" w:rsidRPr="00D66167" w:rsidRDefault="00830024" w:rsidP="00830024">
      <w:pPr>
        <w:spacing w:line="360" w:lineRule="auto"/>
        <w:jc w:val="both"/>
        <w:rPr>
          <w:rFonts w:eastAsia="MinionPro-Regular"/>
          <w:sz w:val="22"/>
          <w:szCs w:val="22"/>
        </w:rPr>
      </w:pPr>
    </w:p>
    <w:p w14:paraId="66F5C01A" w14:textId="77777777" w:rsidR="00830024" w:rsidRPr="00D66167" w:rsidRDefault="00830024" w:rsidP="00830024">
      <w:pPr>
        <w:spacing w:after="120" w:line="264" w:lineRule="auto"/>
        <w:jc w:val="both"/>
        <w:rPr>
          <w:rFonts w:eastAsia="MinionPro-Regular"/>
          <w:sz w:val="22"/>
          <w:szCs w:val="22"/>
        </w:rPr>
      </w:pPr>
      <w:r w:rsidRPr="00D66167">
        <w:rPr>
          <w:rFonts w:eastAsia="MinionPro-Regular"/>
          <w:sz w:val="22"/>
          <w:szCs w:val="22"/>
        </w:rPr>
        <w:t xml:space="preserve">„Informace o kvalitě ovzduší a spojených zdravotních účincích“ referuje o výskytu a možném působení látek, které jsou předmětem imisního monitoringu. Prostředí, ve kterém se vyskytují zvýšené koncentrace znečišťujících látek, může představovat riziko pro zdraví lidí </w:t>
      </w:r>
      <w:r w:rsidRPr="00D66167">
        <w:rPr>
          <w:rFonts w:eastAsia="MinionPro-Regular"/>
          <w:sz w:val="22"/>
          <w:szCs w:val="22"/>
        </w:rPr>
        <w:br/>
        <w:t>i ekosystémů a vegetace. Působení znečišťujících látek je zásadně determinováno jejich koncentrací, délkou expozice, mechanismem účinku znečišťujících látek (prahový či bezprahový účinek) a dalšími faktory, například věkem a zdravotním stavem exponovaných jedinců. V tabulce níže jsou uvedeny znečišťující látky, pro které je zákonem č. 201/2012 stanoven imisní limit a zjednodušený popis jejich nejvýznamnějších zdravotních účinků.</w:t>
      </w:r>
    </w:p>
    <w:p w14:paraId="7CD78414" w14:textId="0865BAD5" w:rsidR="00830024" w:rsidRDefault="00830024" w:rsidP="00830024">
      <w:pPr>
        <w:spacing w:after="120" w:line="264" w:lineRule="auto"/>
        <w:jc w:val="both"/>
        <w:rPr>
          <w:rFonts w:eastAsia="MinionPro-Regular"/>
          <w:sz w:val="22"/>
          <w:szCs w:val="22"/>
        </w:rPr>
      </w:pPr>
      <w:r w:rsidRPr="00D66167">
        <w:rPr>
          <w:rFonts w:eastAsia="MinionPro-Regular"/>
          <w:sz w:val="22"/>
          <w:szCs w:val="22"/>
        </w:rPr>
        <w:t>Zdravotní následky mohou zahrnovat mírné přechodné změny v respiračním traktu a zhoršenou funkci plic, snížení výkonu, nutnost vyhledání první pomoci, hospitalizaci nebo dokonce úmrtí. Roste množství důkazů o negativních účincích znečištění ovzduší nejen na respirační, ale i na kardiovaskulární systém. Tyto důkazy vyplývají z vědeckých prací zabývajících se jak akutní, tak i chronickou expozicí. Mezi nejzávažnější účinky (z hlediska celkového zdravotního zatížení), které mají vztah k dlouhodobé expozici vysokým hladinám suspendovaných částic, patří zkrácení předpokládané délky života populace – tzv. předčasná úmrtnost. Některé znečišťující látky mají karcinogenní účinek, ovlivňují funkci žláz s vnitřní sekrecí nebo vývoj a růst plodu.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63"/>
        <w:gridCol w:w="6529"/>
      </w:tblGrid>
      <w:tr w:rsidR="00830024" w:rsidRPr="00D66167" w14:paraId="4A188CD2" w14:textId="77777777" w:rsidTr="00AB7D9E">
        <w:trPr>
          <w:trHeight w:hRule="exact" w:val="666"/>
          <w:tblHeader/>
          <w:jc w:val="center"/>
        </w:trPr>
        <w:tc>
          <w:tcPr>
            <w:tcW w:w="2463" w:type="dxa"/>
            <w:shd w:val="clear" w:color="auto" w:fill="66FFFF"/>
            <w:vAlign w:val="center"/>
          </w:tcPr>
          <w:p w14:paraId="72F2DCE9" w14:textId="77777777" w:rsidR="00830024" w:rsidRPr="006B5E35" w:rsidRDefault="00830024" w:rsidP="006B5E35">
            <w:pPr>
              <w:jc w:val="both"/>
              <w:rPr>
                <w:rFonts w:eastAsia="MinionPro-Regular"/>
                <w:b/>
                <w:sz w:val="22"/>
                <w:szCs w:val="22"/>
              </w:rPr>
            </w:pPr>
            <w:r w:rsidRPr="006B5E35">
              <w:rPr>
                <w:rFonts w:eastAsia="MinionPro-Regular"/>
                <w:b/>
                <w:sz w:val="22"/>
                <w:szCs w:val="22"/>
              </w:rPr>
              <w:t>Znečišťující látka</w:t>
            </w:r>
          </w:p>
        </w:tc>
        <w:tc>
          <w:tcPr>
            <w:tcW w:w="6529" w:type="dxa"/>
            <w:shd w:val="clear" w:color="auto" w:fill="66FFFF"/>
            <w:vAlign w:val="center"/>
          </w:tcPr>
          <w:p w14:paraId="6A11DB57" w14:textId="77777777" w:rsidR="00830024" w:rsidRPr="006B5E35" w:rsidRDefault="00830024" w:rsidP="006B5E35">
            <w:pPr>
              <w:jc w:val="both"/>
              <w:rPr>
                <w:rFonts w:eastAsia="MinionPro-Regular"/>
                <w:b/>
                <w:sz w:val="22"/>
                <w:szCs w:val="22"/>
              </w:rPr>
            </w:pPr>
            <w:r w:rsidRPr="006B5E35">
              <w:rPr>
                <w:rFonts w:eastAsia="MinionPro-Regular"/>
                <w:b/>
                <w:sz w:val="22"/>
                <w:szCs w:val="22"/>
              </w:rPr>
              <w:t>Možný zdravotní účinek</w:t>
            </w:r>
          </w:p>
        </w:tc>
      </w:tr>
      <w:tr w:rsidR="00830024" w:rsidRPr="00D66167" w14:paraId="29D083B1" w14:textId="77777777" w:rsidTr="006B5E35">
        <w:trPr>
          <w:trHeight w:hRule="exact" w:val="619"/>
          <w:jc w:val="center"/>
        </w:trPr>
        <w:tc>
          <w:tcPr>
            <w:tcW w:w="2463" w:type="dxa"/>
            <w:shd w:val="clear" w:color="auto" w:fill="66FFFF"/>
            <w:vAlign w:val="center"/>
          </w:tcPr>
          <w:p w14:paraId="2ADF2391" w14:textId="77777777" w:rsidR="00830024" w:rsidRPr="00772258" w:rsidRDefault="00830024" w:rsidP="00830024">
            <w:pPr>
              <w:jc w:val="both"/>
              <w:rPr>
                <w:rFonts w:eastAsia="MinionPro-Regular"/>
              </w:rPr>
            </w:pPr>
            <w:r w:rsidRPr="00772258">
              <w:rPr>
                <w:rFonts w:eastAsia="MinionPro-Regular"/>
              </w:rPr>
              <w:t>Oxid siřičitý</w:t>
            </w:r>
          </w:p>
        </w:tc>
        <w:tc>
          <w:tcPr>
            <w:tcW w:w="6529" w:type="dxa"/>
            <w:vAlign w:val="center"/>
          </w:tcPr>
          <w:p w14:paraId="4D642BE5" w14:textId="77777777" w:rsidR="00830024" w:rsidRPr="00772258" w:rsidRDefault="00830024" w:rsidP="006B5E35">
            <w:pPr>
              <w:jc w:val="both"/>
              <w:rPr>
                <w:rFonts w:eastAsia="MinionPro-Regular"/>
              </w:rPr>
            </w:pPr>
            <w:r w:rsidRPr="00772258">
              <w:rPr>
                <w:rFonts w:eastAsia="MinionPro-Regular"/>
              </w:rPr>
              <w:t>Dráždivý, snížení plicních funkcí, při vysokých koncentracích poškozuje dýchací cesty.</w:t>
            </w:r>
          </w:p>
          <w:p w14:paraId="16F4CF34" w14:textId="77777777" w:rsidR="00830024" w:rsidRPr="00772258" w:rsidRDefault="00830024" w:rsidP="006B5E35">
            <w:pPr>
              <w:jc w:val="both"/>
              <w:rPr>
                <w:rFonts w:eastAsia="MinionPro-Regular"/>
              </w:rPr>
            </w:pPr>
          </w:p>
          <w:p w14:paraId="48BDBDA8" w14:textId="77777777" w:rsidR="00830024" w:rsidRPr="00772258" w:rsidRDefault="00830024" w:rsidP="006B5E35">
            <w:pPr>
              <w:jc w:val="both"/>
              <w:rPr>
                <w:rFonts w:eastAsia="MinionPro-Regular"/>
              </w:rPr>
            </w:pPr>
          </w:p>
          <w:p w14:paraId="32219F9D" w14:textId="77777777" w:rsidR="00830024" w:rsidRPr="00772258" w:rsidRDefault="00830024" w:rsidP="006B5E35">
            <w:pPr>
              <w:jc w:val="both"/>
              <w:rPr>
                <w:rFonts w:eastAsia="MinionPro-Regular"/>
              </w:rPr>
            </w:pPr>
          </w:p>
          <w:p w14:paraId="4EF50BBF" w14:textId="77777777" w:rsidR="00830024" w:rsidRPr="00772258" w:rsidRDefault="00830024" w:rsidP="006B5E35">
            <w:pPr>
              <w:jc w:val="both"/>
              <w:rPr>
                <w:rFonts w:eastAsia="MinionPro-Regular"/>
              </w:rPr>
            </w:pPr>
            <w:proofErr w:type="spellStart"/>
            <w:r w:rsidRPr="00772258">
              <w:rPr>
                <w:rFonts w:eastAsia="MinionPro-Regular"/>
              </w:rPr>
              <w:t>cestcesty</w:t>
            </w:r>
            <w:proofErr w:type="spellEnd"/>
            <w:r w:rsidRPr="00772258">
              <w:rPr>
                <w:rFonts w:eastAsia="MinionPro-Regular"/>
              </w:rPr>
              <w:t>.</w:t>
            </w:r>
          </w:p>
        </w:tc>
      </w:tr>
      <w:tr w:rsidR="00830024" w:rsidRPr="00D66167" w14:paraId="4D96D3C1" w14:textId="77777777" w:rsidTr="006B5E35">
        <w:trPr>
          <w:trHeight w:hRule="exact" w:val="643"/>
          <w:jc w:val="center"/>
        </w:trPr>
        <w:tc>
          <w:tcPr>
            <w:tcW w:w="2463" w:type="dxa"/>
            <w:shd w:val="clear" w:color="auto" w:fill="66FFFF"/>
            <w:vAlign w:val="center"/>
          </w:tcPr>
          <w:p w14:paraId="3F58E6F5" w14:textId="77777777" w:rsidR="00830024" w:rsidRPr="00772258" w:rsidRDefault="00830024" w:rsidP="00830024">
            <w:pPr>
              <w:jc w:val="both"/>
              <w:rPr>
                <w:rFonts w:eastAsia="MinionPro-Regular"/>
              </w:rPr>
            </w:pPr>
            <w:r w:rsidRPr="00772258">
              <w:rPr>
                <w:rFonts w:eastAsia="MinionPro-Regular"/>
              </w:rPr>
              <w:t>Oxid dusičitý</w:t>
            </w:r>
          </w:p>
        </w:tc>
        <w:tc>
          <w:tcPr>
            <w:tcW w:w="6529" w:type="dxa"/>
            <w:vAlign w:val="center"/>
          </w:tcPr>
          <w:p w14:paraId="50A10DAF" w14:textId="5FED314B" w:rsidR="00830024" w:rsidRPr="00772258" w:rsidRDefault="00830024" w:rsidP="006B5E35">
            <w:pPr>
              <w:jc w:val="both"/>
              <w:rPr>
                <w:rFonts w:eastAsia="MinionPro-Regular"/>
              </w:rPr>
            </w:pPr>
            <w:r w:rsidRPr="00772258">
              <w:rPr>
                <w:rFonts w:eastAsia="MinionPro-Regular"/>
              </w:rPr>
              <w:t>Dr</w:t>
            </w:r>
            <w:r w:rsidR="00772258">
              <w:rPr>
                <w:rFonts w:eastAsia="MinionPro-Regular"/>
              </w:rPr>
              <w:t>áždivý, respirační onemocnění. Z</w:t>
            </w:r>
            <w:r w:rsidRPr="00772258">
              <w:rPr>
                <w:rFonts w:eastAsia="MinionPro-Regular"/>
              </w:rPr>
              <w:t xml:space="preserve">krácení délky života (srdeční </w:t>
            </w:r>
            <w:r w:rsidRPr="00772258">
              <w:rPr>
                <w:rFonts w:eastAsia="MinionPro-Regular"/>
              </w:rPr>
              <w:br/>
              <w:t>a respirační onemocnění).</w:t>
            </w:r>
          </w:p>
        </w:tc>
      </w:tr>
      <w:tr w:rsidR="00830024" w:rsidRPr="00D66167" w14:paraId="6066BD8A" w14:textId="77777777" w:rsidTr="006B5E35">
        <w:trPr>
          <w:trHeight w:hRule="exact" w:val="680"/>
          <w:jc w:val="center"/>
        </w:trPr>
        <w:tc>
          <w:tcPr>
            <w:tcW w:w="2463" w:type="dxa"/>
            <w:shd w:val="clear" w:color="auto" w:fill="66FFFF"/>
            <w:vAlign w:val="center"/>
          </w:tcPr>
          <w:p w14:paraId="2E468382" w14:textId="77777777" w:rsidR="00830024" w:rsidRPr="00772258" w:rsidRDefault="00830024" w:rsidP="00830024">
            <w:pPr>
              <w:jc w:val="both"/>
              <w:rPr>
                <w:rFonts w:eastAsia="MinionPro-Regular"/>
              </w:rPr>
            </w:pPr>
            <w:r w:rsidRPr="00772258">
              <w:rPr>
                <w:rFonts w:eastAsia="MinionPro-Regular"/>
              </w:rPr>
              <w:t>Oxid uhelnatý</w:t>
            </w:r>
          </w:p>
        </w:tc>
        <w:tc>
          <w:tcPr>
            <w:tcW w:w="6529" w:type="dxa"/>
            <w:vAlign w:val="center"/>
          </w:tcPr>
          <w:p w14:paraId="622FD762" w14:textId="298903DB" w:rsidR="00830024" w:rsidRPr="00772258" w:rsidRDefault="00830024" w:rsidP="006B5E35">
            <w:pPr>
              <w:jc w:val="both"/>
              <w:rPr>
                <w:rFonts w:eastAsia="MinionPro-Regular"/>
              </w:rPr>
            </w:pPr>
            <w:r w:rsidRPr="00772258">
              <w:rPr>
                <w:rFonts w:eastAsia="MinionPro-Regular"/>
              </w:rPr>
              <w:t>Má silnou afinitu k hemoglobinu, způsobuje hypoxii, kardiovaskulární a neurologické účinky a účinky na vyvíjející se plod.</w:t>
            </w:r>
          </w:p>
        </w:tc>
      </w:tr>
      <w:tr w:rsidR="00830024" w:rsidRPr="00D66167" w14:paraId="0EA6ADBD" w14:textId="77777777" w:rsidTr="006B5E35">
        <w:trPr>
          <w:trHeight w:hRule="exact" w:val="680"/>
          <w:jc w:val="center"/>
        </w:trPr>
        <w:tc>
          <w:tcPr>
            <w:tcW w:w="2463" w:type="dxa"/>
            <w:shd w:val="clear" w:color="auto" w:fill="66FFFF"/>
            <w:vAlign w:val="center"/>
          </w:tcPr>
          <w:p w14:paraId="60824966" w14:textId="77777777" w:rsidR="00830024" w:rsidRPr="00772258" w:rsidRDefault="00830024" w:rsidP="00830024">
            <w:pPr>
              <w:jc w:val="both"/>
              <w:rPr>
                <w:rFonts w:eastAsia="MinionPro-Regular"/>
              </w:rPr>
            </w:pPr>
            <w:r w:rsidRPr="00772258">
              <w:rPr>
                <w:rFonts w:eastAsia="MinionPro-Regular"/>
              </w:rPr>
              <w:t>Benzen</w:t>
            </w:r>
          </w:p>
        </w:tc>
        <w:tc>
          <w:tcPr>
            <w:tcW w:w="6529" w:type="dxa"/>
            <w:vAlign w:val="center"/>
          </w:tcPr>
          <w:p w14:paraId="0146A7F9" w14:textId="77777777" w:rsidR="00830024" w:rsidRPr="00772258" w:rsidRDefault="00830024" w:rsidP="006B5E35">
            <w:pPr>
              <w:jc w:val="both"/>
              <w:rPr>
                <w:rFonts w:eastAsia="MinionPro-Regular"/>
              </w:rPr>
            </w:pPr>
            <w:r w:rsidRPr="00772258">
              <w:rPr>
                <w:rFonts w:eastAsia="MinionPro-Regular"/>
              </w:rPr>
              <w:t>Při dlouhodobé expozici karcinogenní působení, při vysokých koncentracích hematotoxické, genotoxické a imunotoxické účinky.</w:t>
            </w:r>
          </w:p>
        </w:tc>
      </w:tr>
      <w:tr w:rsidR="00830024" w:rsidRPr="00D66167" w14:paraId="080A972D" w14:textId="77777777" w:rsidTr="006B5E35">
        <w:trPr>
          <w:trHeight w:hRule="exact" w:val="1474"/>
          <w:jc w:val="center"/>
        </w:trPr>
        <w:tc>
          <w:tcPr>
            <w:tcW w:w="2463" w:type="dxa"/>
            <w:shd w:val="clear" w:color="auto" w:fill="66FFFF"/>
            <w:vAlign w:val="center"/>
          </w:tcPr>
          <w:p w14:paraId="2B63DA91" w14:textId="77777777" w:rsidR="00830024" w:rsidRPr="00772258" w:rsidRDefault="00830024" w:rsidP="00830024">
            <w:pPr>
              <w:jc w:val="both"/>
              <w:rPr>
                <w:rFonts w:eastAsia="MinionPro-Regular"/>
              </w:rPr>
            </w:pPr>
            <w:r w:rsidRPr="00772258">
              <w:rPr>
                <w:rFonts w:eastAsia="MinionPro-Regular"/>
              </w:rPr>
              <w:t>Částice PM</w:t>
            </w:r>
            <w:r w:rsidRPr="00772258">
              <w:rPr>
                <w:rFonts w:eastAsia="MinionPro-Regular"/>
                <w:vertAlign w:val="subscript"/>
              </w:rPr>
              <w:t>10</w:t>
            </w:r>
          </w:p>
        </w:tc>
        <w:tc>
          <w:tcPr>
            <w:tcW w:w="6529" w:type="dxa"/>
            <w:vAlign w:val="center"/>
          </w:tcPr>
          <w:p w14:paraId="30C4C6C7" w14:textId="241669E7" w:rsidR="00830024" w:rsidRPr="00772258" w:rsidRDefault="00830024" w:rsidP="009A0564">
            <w:pPr>
              <w:rPr>
                <w:rFonts w:eastAsia="MinionPro-Regular"/>
              </w:rPr>
            </w:pPr>
            <w:r w:rsidRPr="00772258">
              <w:rPr>
                <w:rFonts w:eastAsia="MinionPro-Regular"/>
              </w:rPr>
              <w:t xml:space="preserve">Účinek závisí na zastoupení frakcí ve směsi, tvaru a složení částic. Proniká do dolních cest dýchacích, dráždí a poškozuje dýchací cesty, </w:t>
            </w:r>
            <w:r w:rsidR="009A0564" w:rsidRPr="009A0564">
              <w:t>snižuje plicní funkce u dětí i dospělých,</w:t>
            </w:r>
            <w:r w:rsidR="009A0564">
              <w:rPr>
                <w:sz w:val="22"/>
                <w:szCs w:val="22"/>
              </w:rPr>
              <w:t xml:space="preserve"> </w:t>
            </w:r>
            <w:r w:rsidRPr="00772258">
              <w:rPr>
                <w:rFonts w:eastAsia="MinionPro-Regular"/>
              </w:rPr>
              <w:t>ovlivňuje rozvoj aterosklerózy, způsobuje zánět, oxidační stres, zkrácení délky života (srdeční a respirační onemocnění</w:t>
            </w:r>
            <w:r w:rsidR="009A0564">
              <w:rPr>
                <w:rFonts w:eastAsia="MinionPro-Regular"/>
              </w:rPr>
              <w:t xml:space="preserve"> včetně rakoviny plic</w:t>
            </w:r>
            <w:r w:rsidRPr="00772258">
              <w:rPr>
                <w:rFonts w:eastAsia="MinionPro-Regular"/>
              </w:rPr>
              <w:t xml:space="preserve">). </w:t>
            </w:r>
          </w:p>
        </w:tc>
      </w:tr>
      <w:tr w:rsidR="00830024" w:rsidRPr="00D66167" w14:paraId="268C6E42" w14:textId="77777777" w:rsidTr="006B5E35">
        <w:trPr>
          <w:trHeight w:hRule="exact" w:val="1454"/>
          <w:jc w:val="center"/>
        </w:trPr>
        <w:tc>
          <w:tcPr>
            <w:tcW w:w="2463" w:type="dxa"/>
            <w:shd w:val="clear" w:color="auto" w:fill="66FFFF"/>
            <w:vAlign w:val="center"/>
          </w:tcPr>
          <w:p w14:paraId="19565122" w14:textId="77777777" w:rsidR="00830024" w:rsidRPr="00772258" w:rsidRDefault="00830024" w:rsidP="00830024">
            <w:pPr>
              <w:jc w:val="both"/>
              <w:rPr>
                <w:rFonts w:eastAsia="MinionPro-Regular"/>
              </w:rPr>
            </w:pPr>
            <w:r w:rsidRPr="00772258">
              <w:rPr>
                <w:rFonts w:eastAsia="MinionPro-Regular"/>
              </w:rPr>
              <w:lastRenderedPageBreak/>
              <w:t>Částice PM</w:t>
            </w:r>
            <w:r w:rsidRPr="00772258">
              <w:rPr>
                <w:rFonts w:eastAsia="MinionPro-Regular"/>
                <w:vertAlign w:val="subscript"/>
              </w:rPr>
              <w:t>2,5</w:t>
            </w:r>
          </w:p>
        </w:tc>
        <w:tc>
          <w:tcPr>
            <w:tcW w:w="6529" w:type="dxa"/>
            <w:vAlign w:val="center"/>
          </w:tcPr>
          <w:p w14:paraId="1F7354E4" w14:textId="1D5DF930" w:rsidR="00830024" w:rsidRPr="00772258" w:rsidRDefault="00830024" w:rsidP="009A0564">
            <w:pPr>
              <w:jc w:val="both"/>
              <w:rPr>
                <w:rFonts w:eastAsia="MinionPro-Regular"/>
              </w:rPr>
            </w:pPr>
            <w:r w:rsidRPr="00772258">
              <w:rPr>
                <w:rFonts w:eastAsia="MinionPro-Regular"/>
              </w:rPr>
              <w:t xml:space="preserve">Účinek závisí na zastoupení frakcí ve směsi, tvaru </w:t>
            </w:r>
            <w:r w:rsidRPr="00772258">
              <w:rPr>
                <w:rFonts w:eastAsia="MinionPro-Regular"/>
              </w:rPr>
              <w:br/>
              <w:t xml:space="preserve">a složení. Proniká do plicních sklípků. </w:t>
            </w:r>
            <w:r w:rsidRPr="009A0564">
              <w:rPr>
                <w:rFonts w:eastAsia="MinionPro-Regular"/>
              </w:rPr>
              <w:t xml:space="preserve">Dráždí a poškozuje dýchací cesty, </w:t>
            </w:r>
            <w:r w:rsidR="009A0564" w:rsidRPr="009A0564">
              <w:t>snižuje plicní funkce u dětí i dospělých,</w:t>
            </w:r>
            <w:r w:rsidR="009A0564" w:rsidRPr="009A0564">
              <w:rPr>
                <w:rFonts w:eastAsia="MinionPro-Regular"/>
              </w:rPr>
              <w:t xml:space="preserve"> </w:t>
            </w:r>
            <w:r w:rsidRPr="009A0564">
              <w:rPr>
                <w:rFonts w:eastAsia="MinionPro-Regular"/>
              </w:rPr>
              <w:t>o</w:t>
            </w:r>
            <w:r w:rsidRPr="00772258">
              <w:rPr>
                <w:rFonts w:eastAsia="MinionPro-Regular"/>
              </w:rPr>
              <w:t>vlivňuje rozvoj aterosklerózy, způsobuje zánět, oxidační stres, zkrácení délky života (srdeční a respirační onemocnění</w:t>
            </w:r>
            <w:r w:rsidR="009A0564">
              <w:rPr>
                <w:rFonts w:eastAsia="MinionPro-Regular"/>
              </w:rPr>
              <w:t xml:space="preserve"> včetně rakoviny plic</w:t>
            </w:r>
            <w:r w:rsidRPr="00772258">
              <w:rPr>
                <w:rFonts w:eastAsia="MinionPro-Regular"/>
              </w:rPr>
              <w:t xml:space="preserve">). </w:t>
            </w:r>
          </w:p>
        </w:tc>
      </w:tr>
      <w:tr w:rsidR="00830024" w:rsidRPr="00D66167" w14:paraId="400E0F94" w14:textId="77777777" w:rsidTr="006B5E35">
        <w:trPr>
          <w:trHeight w:hRule="exact" w:val="815"/>
          <w:jc w:val="center"/>
        </w:trPr>
        <w:tc>
          <w:tcPr>
            <w:tcW w:w="2463" w:type="dxa"/>
            <w:shd w:val="clear" w:color="auto" w:fill="66FFFF"/>
            <w:vAlign w:val="center"/>
          </w:tcPr>
          <w:p w14:paraId="746E9761" w14:textId="77777777" w:rsidR="00830024" w:rsidRPr="00772258" w:rsidRDefault="00830024" w:rsidP="00830024">
            <w:pPr>
              <w:jc w:val="both"/>
              <w:rPr>
                <w:rFonts w:eastAsia="MinionPro-Regular"/>
              </w:rPr>
            </w:pPr>
            <w:r w:rsidRPr="00772258">
              <w:rPr>
                <w:rFonts w:eastAsia="MinionPro-Regular"/>
              </w:rPr>
              <w:t>Olovo</w:t>
            </w:r>
          </w:p>
        </w:tc>
        <w:tc>
          <w:tcPr>
            <w:tcW w:w="6529" w:type="dxa"/>
            <w:vAlign w:val="center"/>
          </w:tcPr>
          <w:p w14:paraId="51B24BAD" w14:textId="77777777" w:rsidR="00830024" w:rsidRPr="00772258" w:rsidRDefault="00830024" w:rsidP="006B5E35">
            <w:pPr>
              <w:jc w:val="both"/>
              <w:rPr>
                <w:rFonts w:eastAsia="MinionPro-Regular"/>
              </w:rPr>
            </w:pPr>
            <w:r w:rsidRPr="00772258">
              <w:rPr>
                <w:rFonts w:eastAsia="MinionPro-Regular"/>
              </w:rPr>
              <w:t>Při dlouhodobé expozici ovlivňuje nervový systém, krevní tlak. Působí na biosyntézu nebílkovinné složky hemoglobinu.</w:t>
            </w:r>
          </w:p>
        </w:tc>
      </w:tr>
      <w:tr w:rsidR="00830024" w:rsidRPr="00D66167" w14:paraId="2E4E32E1" w14:textId="77777777" w:rsidTr="006B5E35">
        <w:trPr>
          <w:trHeight w:hRule="exact" w:val="668"/>
          <w:jc w:val="center"/>
        </w:trPr>
        <w:tc>
          <w:tcPr>
            <w:tcW w:w="2463" w:type="dxa"/>
            <w:shd w:val="clear" w:color="auto" w:fill="66FFFF"/>
            <w:vAlign w:val="center"/>
          </w:tcPr>
          <w:p w14:paraId="76787189" w14:textId="77777777" w:rsidR="00830024" w:rsidRPr="00772258" w:rsidRDefault="00830024" w:rsidP="00830024">
            <w:pPr>
              <w:jc w:val="both"/>
              <w:rPr>
                <w:rFonts w:eastAsia="MinionPro-Regular"/>
              </w:rPr>
            </w:pPr>
            <w:r w:rsidRPr="00772258">
              <w:rPr>
                <w:rFonts w:eastAsia="MinionPro-Regular"/>
              </w:rPr>
              <w:t>Arsen</w:t>
            </w:r>
          </w:p>
        </w:tc>
        <w:tc>
          <w:tcPr>
            <w:tcW w:w="6529" w:type="dxa"/>
            <w:vAlign w:val="center"/>
          </w:tcPr>
          <w:p w14:paraId="05A88DA2" w14:textId="77777777" w:rsidR="00830024" w:rsidRPr="00772258" w:rsidRDefault="00830024" w:rsidP="006B5E35">
            <w:pPr>
              <w:jc w:val="both"/>
              <w:rPr>
                <w:rFonts w:eastAsia="MinionPro-Regular"/>
              </w:rPr>
            </w:pPr>
            <w:r w:rsidRPr="00772258">
              <w:rPr>
                <w:rFonts w:eastAsia="MinionPro-Regular"/>
              </w:rPr>
              <w:t>Karcinogenní účinek, vysoké koncentrace způsobují postižení nervového systému.</w:t>
            </w:r>
          </w:p>
        </w:tc>
      </w:tr>
      <w:tr w:rsidR="00830024" w:rsidRPr="00D66167" w14:paraId="003FFB07" w14:textId="77777777" w:rsidTr="006B5E35">
        <w:trPr>
          <w:trHeight w:hRule="exact" w:val="340"/>
          <w:jc w:val="center"/>
        </w:trPr>
        <w:tc>
          <w:tcPr>
            <w:tcW w:w="2463" w:type="dxa"/>
            <w:shd w:val="clear" w:color="auto" w:fill="66FFFF"/>
            <w:vAlign w:val="center"/>
          </w:tcPr>
          <w:p w14:paraId="0902AFF8" w14:textId="77777777" w:rsidR="00830024" w:rsidRPr="00772258" w:rsidRDefault="00830024" w:rsidP="00830024">
            <w:pPr>
              <w:jc w:val="both"/>
              <w:rPr>
                <w:rFonts w:eastAsia="MinionPro-Regular"/>
              </w:rPr>
            </w:pPr>
            <w:r w:rsidRPr="00772258">
              <w:rPr>
                <w:rFonts w:eastAsia="MinionPro-Regular"/>
              </w:rPr>
              <w:t>Kadmium</w:t>
            </w:r>
          </w:p>
        </w:tc>
        <w:tc>
          <w:tcPr>
            <w:tcW w:w="6529" w:type="dxa"/>
            <w:vAlign w:val="center"/>
          </w:tcPr>
          <w:p w14:paraId="4725627C" w14:textId="77777777" w:rsidR="00830024" w:rsidRPr="00772258" w:rsidRDefault="00830024" w:rsidP="006B5E35">
            <w:pPr>
              <w:jc w:val="both"/>
              <w:rPr>
                <w:rFonts w:eastAsia="MinionPro-Regular"/>
              </w:rPr>
            </w:pPr>
            <w:r w:rsidRPr="00772258">
              <w:rPr>
                <w:rFonts w:eastAsia="MinionPro-Regular"/>
              </w:rPr>
              <w:t>Karcinogenní účinek, postižení ledvin.</w:t>
            </w:r>
          </w:p>
        </w:tc>
      </w:tr>
      <w:tr w:rsidR="00830024" w:rsidRPr="00D66167" w14:paraId="7351D8E8" w14:textId="77777777" w:rsidTr="006B5E35">
        <w:trPr>
          <w:trHeight w:hRule="exact" w:val="645"/>
          <w:jc w:val="center"/>
        </w:trPr>
        <w:tc>
          <w:tcPr>
            <w:tcW w:w="2463" w:type="dxa"/>
            <w:shd w:val="clear" w:color="auto" w:fill="66FFFF"/>
            <w:vAlign w:val="center"/>
          </w:tcPr>
          <w:p w14:paraId="318DF610" w14:textId="77777777" w:rsidR="00830024" w:rsidRPr="00772258" w:rsidRDefault="00830024" w:rsidP="00830024">
            <w:pPr>
              <w:jc w:val="both"/>
              <w:rPr>
                <w:rFonts w:eastAsia="MinionPro-Regular"/>
              </w:rPr>
            </w:pPr>
            <w:r w:rsidRPr="00772258">
              <w:rPr>
                <w:rFonts w:eastAsia="MinionPro-Regular"/>
              </w:rPr>
              <w:t>Nikl</w:t>
            </w:r>
          </w:p>
        </w:tc>
        <w:tc>
          <w:tcPr>
            <w:tcW w:w="6529" w:type="dxa"/>
            <w:vAlign w:val="center"/>
          </w:tcPr>
          <w:p w14:paraId="2E259856" w14:textId="77777777" w:rsidR="00830024" w:rsidRPr="00772258" w:rsidRDefault="00830024" w:rsidP="006B5E35">
            <w:pPr>
              <w:jc w:val="both"/>
              <w:rPr>
                <w:rFonts w:eastAsia="MinionPro-Regular"/>
              </w:rPr>
            </w:pPr>
            <w:r w:rsidRPr="00772258">
              <w:rPr>
                <w:rFonts w:eastAsia="MinionPro-Regular"/>
              </w:rPr>
              <w:t>Dráždivý pro dýchací cesty. Ovlivnění prenatálního vývoje embrya. Karcinogenní účinek zejména v dýchacím traktu.</w:t>
            </w:r>
          </w:p>
        </w:tc>
      </w:tr>
      <w:tr w:rsidR="00830024" w:rsidRPr="00D66167" w14:paraId="427E6083" w14:textId="77777777" w:rsidTr="006B5E35">
        <w:trPr>
          <w:trHeight w:hRule="exact" w:val="707"/>
          <w:jc w:val="center"/>
        </w:trPr>
        <w:tc>
          <w:tcPr>
            <w:tcW w:w="2463" w:type="dxa"/>
            <w:shd w:val="clear" w:color="auto" w:fill="66FFFF"/>
            <w:vAlign w:val="center"/>
          </w:tcPr>
          <w:p w14:paraId="25FB28EE" w14:textId="77777777" w:rsidR="00830024" w:rsidRPr="00772258" w:rsidRDefault="00830024" w:rsidP="00830024">
            <w:pPr>
              <w:jc w:val="both"/>
              <w:rPr>
                <w:rFonts w:eastAsia="MinionPro-Regular"/>
              </w:rPr>
            </w:pPr>
            <w:r w:rsidRPr="00772258">
              <w:rPr>
                <w:rFonts w:eastAsia="MinionPro-Regular"/>
              </w:rPr>
              <w:t>Benzo[</w:t>
            </w:r>
            <w:r w:rsidRPr="00772258">
              <w:rPr>
                <w:rFonts w:eastAsia="MinionPro-Regular"/>
                <w:i/>
              </w:rPr>
              <w:t>a</w:t>
            </w:r>
            <w:r w:rsidRPr="00772258">
              <w:rPr>
                <w:rFonts w:eastAsia="MinionPro-Regular"/>
              </w:rPr>
              <w:t>]pyren</w:t>
            </w:r>
          </w:p>
        </w:tc>
        <w:tc>
          <w:tcPr>
            <w:tcW w:w="6529" w:type="dxa"/>
            <w:vAlign w:val="center"/>
          </w:tcPr>
          <w:p w14:paraId="2F5DF4A0" w14:textId="77777777" w:rsidR="00830024" w:rsidRPr="00772258" w:rsidRDefault="00830024" w:rsidP="006B5E35">
            <w:pPr>
              <w:jc w:val="both"/>
              <w:rPr>
                <w:rFonts w:eastAsia="MinionPro-Regular"/>
              </w:rPr>
            </w:pPr>
            <w:r w:rsidRPr="00772258">
              <w:rPr>
                <w:rFonts w:eastAsia="MinionPro-Regular"/>
              </w:rPr>
              <w:t>Mutagenní a karcinogenní působení, ovlivnění žláz s vnitřní sekrecí, vývoje a růstu plodu.</w:t>
            </w:r>
          </w:p>
        </w:tc>
      </w:tr>
      <w:tr w:rsidR="00830024" w:rsidRPr="00D66167" w14:paraId="5CA57BF5" w14:textId="77777777" w:rsidTr="006B5E35">
        <w:trPr>
          <w:trHeight w:hRule="exact" w:val="672"/>
          <w:jc w:val="center"/>
        </w:trPr>
        <w:tc>
          <w:tcPr>
            <w:tcW w:w="2463" w:type="dxa"/>
            <w:shd w:val="clear" w:color="auto" w:fill="66FFFF"/>
            <w:vAlign w:val="center"/>
          </w:tcPr>
          <w:p w14:paraId="054958E3" w14:textId="77777777" w:rsidR="00830024" w:rsidRPr="00772258" w:rsidRDefault="00830024" w:rsidP="00830024">
            <w:pPr>
              <w:jc w:val="both"/>
              <w:rPr>
                <w:rFonts w:eastAsia="MinionPro-Regular"/>
              </w:rPr>
            </w:pPr>
            <w:r w:rsidRPr="00772258">
              <w:rPr>
                <w:rFonts w:eastAsia="MinionPro-Regular"/>
              </w:rPr>
              <w:t>Troposférický ozon</w:t>
            </w:r>
          </w:p>
        </w:tc>
        <w:tc>
          <w:tcPr>
            <w:tcW w:w="6529" w:type="dxa"/>
            <w:vAlign w:val="center"/>
          </w:tcPr>
          <w:p w14:paraId="69E3A107" w14:textId="0EFDE8E0" w:rsidR="00830024" w:rsidRPr="00772258" w:rsidRDefault="00830024" w:rsidP="006B5E35">
            <w:pPr>
              <w:jc w:val="both"/>
              <w:rPr>
                <w:rFonts w:eastAsia="MinionPro-Regular"/>
              </w:rPr>
            </w:pPr>
            <w:r w:rsidRPr="00772258">
              <w:rPr>
                <w:rFonts w:eastAsia="MinionPro-Regular"/>
              </w:rPr>
              <w:t>Dráždivý. Způsobuje zúžení průd</w:t>
            </w:r>
            <w:r w:rsidR="00772258">
              <w:rPr>
                <w:rFonts w:eastAsia="MinionPro-Regular"/>
              </w:rPr>
              <w:t>ušek, poškozuje dýchací cesty. Z</w:t>
            </w:r>
            <w:r w:rsidRPr="00772258">
              <w:rPr>
                <w:rFonts w:eastAsia="MinionPro-Regular"/>
              </w:rPr>
              <w:t>krácení délky života (srdeční a respirační onemocnění).</w:t>
            </w:r>
          </w:p>
        </w:tc>
      </w:tr>
    </w:tbl>
    <w:p w14:paraId="53914DDB" w14:textId="77777777" w:rsidR="00830024" w:rsidRPr="00D66167" w:rsidRDefault="00830024" w:rsidP="00830024">
      <w:pPr>
        <w:rPr>
          <w:color w:val="FF0000"/>
          <w:sz w:val="22"/>
          <w:szCs w:val="22"/>
        </w:rPr>
      </w:pPr>
    </w:p>
    <w:p w14:paraId="08649AF6" w14:textId="77777777" w:rsidR="00830024" w:rsidRPr="00D66167" w:rsidRDefault="00830024" w:rsidP="00830024">
      <w:pPr>
        <w:rPr>
          <w:color w:val="FF0000"/>
          <w:sz w:val="22"/>
          <w:szCs w:val="22"/>
        </w:rPr>
      </w:pPr>
    </w:p>
    <w:p w14:paraId="16997F06" w14:textId="77777777" w:rsidR="00830024" w:rsidRPr="00D66167" w:rsidRDefault="00830024" w:rsidP="00830024">
      <w:pPr>
        <w:rPr>
          <w:color w:val="FF0000"/>
          <w:sz w:val="22"/>
          <w:szCs w:val="22"/>
        </w:rPr>
      </w:pPr>
    </w:p>
    <w:p w14:paraId="5F433481" w14:textId="77777777" w:rsidR="003F447F" w:rsidRPr="00D66167" w:rsidRDefault="003F447F" w:rsidP="00D62483">
      <w:pPr>
        <w:rPr>
          <w:sz w:val="22"/>
          <w:szCs w:val="22"/>
        </w:rPr>
      </w:pPr>
    </w:p>
    <w:p w14:paraId="61A31A0E" w14:textId="16EB1F66" w:rsidR="00D62483" w:rsidRPr="00D62483" w:rsidRDefault="00D62483" w:rsidP="00D62483">
      <w:pPr>
        <w:pStyle w:val="textSZ"/>
      </w:pPr>
    </w:p>
    <w:sectPr w:rsidR="00D62483" w:rsidRPr="00D62483" w:rsidSect="009A4D82">
      <w:headerReference w:type="even" r:id="rId19"/>
      <w:headerReference w:type="default" r:id="rId20"/>
      <w:footerReference w:type="even" r:id="rId21"/>
      <w:footerReference w:type="default" r:id="rId22"/>
      <w:headerReference w:type="first" r:id="rId23"/>
      <w:footerReference w:type="first" r:id="rId24"/>
      <w:pgSz w:w="11906" w:h="16838" w:code="9"/>
      <w:pgMar w:top="2552" w:right="1134" w:bottom="2268" w:left="1134" w:header="119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93E17" w14:textId="77777777" w:rsidR="00962504" w:rsidRDefault="00962504" w:rsidP="00D62483">
      <w:r>
        <w:separator/>
      </w:r>
    </w:p>
  </w:endnote>
  <w:endnote w:type="continuationSeparator" w:id="0">
    <w:p w14:paraId="76C36C4F" w14:textId="77777777" w:rsidR="00962504" w:rsidRDefault="00962504" w:rsidP="00D62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Mulish">
    <w:altName w:val="Times New Roman"/>
    <w:panose1 w:val="00000000000000000000"/>
    <w:charset w:val="EE"/>
    <w:family w:val="auto"/>
    <w:pitch w:val="variable"/>
    <w:sig w:usb0="A00002FF" w:usb1="5000204B" w:usb2="00000000" w:usb3="00000000" w:csb0="00000197" w:csb1="00000000"/>
  </w:font>
  <w:font w:name="Calibri Light">
    <w:panose1 w:val="020F0302020204030204"/>
    <w:charset w:val="EE"/>
    <w:family w:val="swiss"/>
    <w:pitch w:val="variable"/>
    <w:sig w:usb0="E4002EFF" w:usb1="C000247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Minion Pro">
    <w:altName w:val="Arial"/>
    <w:panose1 w:val="00000000000000000000"/>
    <w:charset w:val="00"/>
    <w:family w:val="roman"/>
    <w:notTrueType/>
    <w:pitch w:val="default"/>
    <w:sig w:usb0="00000003" w:usb1="00000000" w:usb2="00000000" w:usb3="00000000" w:csb0="00000001" w:csb1="00000000"/>
  </w:font>
  <w:font w:name="Public Sans">
    <w:charset w:val="00"/>
    <w:family w:val="auto"/>
    <w:pitch w:val="variable"/>
    <w:sig w:usb0="20000007" w:usb1="00000000" w:usb2="00000000" w:usb3="00000000" w:csb0="00000193" w:csb1="00000000"/>
  </w:font>
  <w:font w:name="Arial">
    <w:panose1 w:val="020B0604020202020204"/>
    <w:charset w:val="EE"/>
    <w:family w:val="swiss"/>
    <w:pitch w:val="variable"/>
    <w:sig w:usb0="E0002EFF" w:usb1="C000785B" w:usb2="00000009" w:usb3="00000000" w:csb0="000001FF"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nionPro-Regular">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B4194" w14:textId="77777777" w:rsidR="00933509" w:rsidRDefault="0093350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C6D24" w14:textId="77777777" w:rsidR="00933509" w:rsidRDefault="00933509" w:rsidP="002845DE">
    <w:pPr>
      <w:pStyle w:val="Zpat"/>
      <w:jc w:val="center"/>
      <w:rPr>
        <w:rFonts w:cs="Minion Pro"/>
        <w:b/>
        <w:bCs/>
        <w:color w:val="005984"/>
        <w:sz w:val="15"/>
        <w:szCs w:val="15"/>
      </w:rPr>
    </w:pPr>
  </w:p>
  <w:p w14:paraId="06BE6134" w14:textId="77777777" w:rsidR="00933509" w:rsidRDefault="00933509" w:rsidP="002845DE">
    <w:pPr>
      <w:pStyle w:val="Zpat"/>
      <w:jc w:val="center"/>
      <w:rPr>
        <w:rFonts w:cs="Minion Pro"/>
        <w:b/>
        <w:bCs/>
        <w:color w:val="005984"/>
        <w:sz w:val="15"/>
        <w:szCs w:val="15"/>
      </w:rPr>
    </w:pPr>
  </w:p>
  <w:p w14:paraId="1E1AFBB9" w14:textId="0EA34DEC" w:rsidR="00933509" w:rsidRDefault="00933509" w:rsidP="005B6F48">
    <w:pPr>
      <w:pStyle w:val="Zpat"/>
      <w:jc w:val="center"/>
      <w:rPr>
        <w:rFonts w:cs="Minion Pro"/>
        <w:b/>
        <w:bCs/>
        <w:color w:val="005984"/>
        <w:sz w:val="15"/>
        <w:szCs w:val="15"/>
      </w:rPr>
    </w:pPr>
    <w:r>
      <w:rPr>
        <w:rFonts w:cs="Minion Pro"/>
        <w:b/>
        <w:bCs/>
        <w:noProof/>
        <w:color w:val="005984"/>
        <w:sz w:val="15"/>
        <w:szCs w:val="15"/>
        <w:lang w:eastAsia="cs-CZ"/>
      </w:rPr>
      <mc:AlternateContent>
        <mc:Choice Requires="wps">
          <w:drawing>
            <wp:anchor distT="0" distB="0" distL="114300" distR="114300" simplePos="0" relativeHeight="251661312" behindDoc="0" locked="0" layoutInCell="1" allowOverlap="1" wp14:anchorId="29F10D22" wp14:editId="5F80D9FD">
              <wp:simplePos x="0" y="0"/>
              <wp:positionH relativeFrom="column">
                <wp:posOffset>-15620</wp:posOffset>
              </wp:positionH>
              <wp:positionV relativeFrom="paragraph">
                <wp:posOffset>94399</wp:posOffset>
              </wp:positionV>
              <wp:extent cx="6100577" cy="7936"/>
              <wp:effectExtent l="0" t="0" r="0" b="0"/>
              <wp:wrapSquare wrapText="bothSides"/>
              <wp:docPr id="38" name="Obdélník 38"/>
              <wp:cNvGraphicFramePr/>
              <a:graphic xmlns:a="http://schemas.openxmlformats.org/drawingml/2006/main">
                <a:graphicData uri="http://schemas.microsoft.com/office/word/2010/wordprocessingShape">
                  <wps:wsp>
                    <wps:cNvSpPr/>
                    <wps:spPr>
                      <a:xfrm>
                        <a:off x="0" y="0"/>
                        <a:ext cx="6100577" cy="7936"/>
                      </a:xfrm>
                      <a:prstGeom prst="rect">
                        <a:avLst/>
                      </a:prstGeom>
                      <a:solidFill>
                        <a:srgbClr val="0059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641BE7" id="Obdélník 38" o:spid="_x0000_s1026" style="position:absolute;margin-left:-1.25pt;margin-top:7.45pt;width:480.35pt;height:.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" fillcolor="#005984" stroked="f" strokeweight="1pt">
              <w10:wrap type="square"/>
            </v:rect>
          </w:pict>
        </mc:Fallback>
      </mc:AlternateContent>
    </w:r>
  </w:p>
  <w:p w14:paraId="4192EE65" w14:textId="15376F07" w:rsidR="00933509" w:rsidRPr="006F4AEE" w:rsidRDefault="00933509" w:rsidP="006F4AEE">
    <w:pPr>
      <w:pStyle w:val="Zpat"/>
      <w:jc w:val="center"/>
      <w:rPr>
        <w:rFonts w:cs="Minion Pro"/>
        <w:color w:val="005984"/>
        <w:sz w:val="15"/>
        <w:szCs w:val="15"/>
      </w:rPr>
    </w:pPr>
    <w:r w:rsidRPr="0032422F">
      <w:rPr>
        <w:rFonts w:cs="Minion Pro"/>
        <w:b/>
        <w:bCs/>
        <w:color w:val="005984"/>
        <w:sz w:val="15"/>
        <w:szCs w:val="15"/>
      </w:rPr>
      <w:t>Státní zdravotní ústav</w:t>
    </w:r>
    <w:r w:rsidRPr="00450EDF">
      <w:rPr>
        <w:rFonts w:cs="Minion Pro"/>
        <w:color w:val="005984"/>
        <w:sz w:val="15"/>
        <w:szCs w:val="15"/>
      </w:rPr>
      <w:t xml:space="preserve">, </w:t>
    </w:r>
    <w:r w:rsidRPr="006943CA">
      <w:rPr>
        <w:rFonts w:cs="Minion Pro"/>
        <w:color w:val="005984"/>
        <w:sz w:val="15"/>
        <w:szCs w:val="15"/>
      </w:rPr>
      <w:t>Šrobárova 49/48, 100 00 Praha 10-Vinohrady</w:t>
    </w:r>
    <w:r w:rsidRPr="00450EDF">
      <w:rPr>
        <w:rFonts w:cs="Minion Pro"/>
        <w:color w:val="005984"/>
        <w:sz w:val="15"/>
        <w:szCs w:val="15"/>
      </w:rPr>
      <w:t>, Česká republika, Tel.: +420 267 081 111,</w:t>
    </w:r>
    <w:r>
      <w:rPr>
        <w:rFonts w:cs="Minion Pro"/>
        <w:color w:val="005984"/>
        <w:sz w:val="15"/>
        <w:szCs w:val="15"/>
      </w:rPr>
      <w:t xml:space="preserve"> </w:t>
    </w:r>
    <w:r w:rsidRPr="00450EDF">
      <w:rPr>
        <w:rFonts w:cs="Minion Pro"/>
        <w:color w:val="005984"/>
        <w:sz w:val="15"/>
        <w:szCs w:val="15"/>
      </w:rPr>
      <w:t xml:space="preserve">E-mail: zdravust@szu.cz </w:t>
    </w:r>
    <w:hyperlink r:id="rId1" w:history="1">
      <w:r w:rsidRPr="00506942">
        <w:rPr>
          <w:rStyle w:val="Hypertextovodkaz"/>
          <w:rFonts w:cs="Minion Pro"/>
          <w:b/>
          <w:bCs/>
          <w:color w:val="005984"/>
          <w:sz w:val="15"/>
          <w:szCs w:val="15"/>
        </w:rPr>
        <w:t>www.szu.cz</w:t>
      </w:r>
    </w:hyperlink>
    <w:r>
      <w:rPr>
        <w:rFonts w:cs="Minion Pro"/>
        <w:b/>
        <w:bCs/>
        <w:color w:val="005984"/>
        <w:sz w:val="15"/>
        <w:szCs w:val="15"/>
      </w:rPr>
      <w:t xml:space="preserve">, </w:t>
    </w:r>
    <w:r w:rsidRPr="00861B49">
      <w:rPr>
        <w:rFonts w:cs="Minion Pro"/>
        <w:color w:val="005984"/>
        <w:sz w:val="15"/>
        <w:szCs w:val="15"/>
      </w:rPr>
      <w:t>IČO:</w:t>
    </w:r>
    <w:r>
      <w:rPr>
        <w:rFonts w:cs="Minion Pro"/>
        <w:color w:val="005984"/>
        <w:sz w:val="15"/>
        <w:szCs w:val="15"/>
      </w:rPr>
      <w:t xml:space="preserve"> 75010330, č. účtu: 1730101/0710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C33DD" w14:textId="77777777" w:rsidR="00933509" w:rsidRDefault="009335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DCE41" w14:textId="77777777" w:rsidR="00962504" w:rsidRDefault="00962504" w:rsidP="00D62483">
      <w:r>
        <w:separator/>
      </w:r>
    </w:p>
  </w:footnote>
  <w:footnote w:type="continuationSeparator" w:id="0">
    <w:p w14:paraId="7BF821C3" w14:textId="77777777" w:rsidR="00962504" w:rsidRDefault="00962504" w:rsidP="00D62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8257B" w14:textId="77777777" w:rsidR="00933509" w:rsidRDefault="0093350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3F76C" w14:textId="3ADDF6F5" w:rsidR="00933509" w:rsidRPr="001A44BC" w:rsidRDefault="00933509" w:rsidP="00356434">
    <w:pPr>
      <w:pStyle w:val="hlavickaadresaSZ"/>
      <w:tabs>
        <w:tab w:val="center" w:pos="4820"/>
      </w:tabs>
      <w:jc w:val="left"/>
    </w:pPr>
    <w:r w:rsidRPr="009D2890">
      <w:rPr>
        <w:b/>
        <w:bCs/>
        <w:noProof/>
        <w:sz w:val="28"/>
        <w:szCs w:val="28"/>
        <w:lang w:eastAsia="cs-CZ"/>
      </w:rPr>
      <mc:AlternateContent>
        <mc:Choice Requires="wps">
          <w:drawing>
            <wp:anchor distT="45720" distB="45720" distL="114300" distR="114300" simplePos="0" relativeHeight="251666432" behindDoc="0" locked="0" layoutInCell="1" allowOverlap="1" wp14:anchorId="033D0835" wp14:editId="7D997A82">
              <wp:simplePos x="0" y="0"/>
              <wp:positionH relativeFrom="column">
                <wp:posOffset>1990090</wp:posOffset>
              </wp:positionH>
              <wp:positionV relativeFrom="paragraph">
                <wp:posOffset>101600</wp:posOffset>
              </wp:positionV>
              <wp:extent cx="2148840" cy="1404620"/>
              <wp:effectExtent l="0" t="0" r="381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1404620"/>
                      </a:xfrm>
                      <a:prstGeom prst="rect">
                        <a:avLst/>
                      </a:prstGeom>
                      <a:solidFill>
                        <a:srgbClr val="FFFFFF"/>
                      </a:solidFill>
                      <a:ln w="9525">
                        <a:noFill/>
                        <a:miter lim="800000"/>
                        <a:headEnd/>
                        <a:tailEnd/>
                      </a:ln>
                    </wps:spPr>
                    <wps:txbx>
                      <w:txbxContent>
                        <w:p w14:paraId="2D1619D5" w14:textId="5A808F11" w:rsidR="00933509" w:rsidRPr="009D2890" w:rsidRDefault="00933509">
                          <w:pPr>
                            <w:rPr>
                              <w:color w:val="005984"/>
                            </w:rPr>
                          </w:pPr>
                          <w:r w:rsidRPr="009D2890">
                            <w:rPr>
                              <w:b/>
                              <w:bCs/>
                              <w:color w:val="005984"/>
                              <w:sz w:val="28"/>
                              <w:szCs w:val="28"/>
                            </w:rPr>
                            <w:t>Státní zdravotní ústav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3D0835" id="_x0000_t202" coordsize="21600,21600" o:spt="202" path="m,l,21600r21600,l21600,xe">
              <v:stroke joinstyle="miter"/>
              <v:path gradientshapeok="t" o:connecttype="rect"/>
            </v:shapetype>
            <v:shape id="Textové pole 2" o:spid="_x0000_s1026" type="#_x0000_t202" style="position:absolute;margin-left:156.7pt;margin-top:8pt;width:169.2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" stroked="f">
              <v:textbox style="mso-fit-shape-to-text:t">
                <w:txbxContent>
                  <w:p w14:paraId="2D1619D5" w14:textId="5A808F11" w:rsidR="0001428D" w:rsidRPr="009D2890" w:rsidRDefault="0001428D">
                    <w:pPr>
                      <w:rPr>
                        <w:color w:val="005984"/>
                      </w:rPr>
                    </w:pPr>
                    <w:r w:rsidRPr="009D2890">
                      <w:rPr>
                        <w:b/>
                        <w:bCs/>
                        <w:color w:val="005984"/>
                        <w:sz w:val="28"/>
                        <w:szCs w:val="28"/>
                      </w:rPr>
                      <w:t>Státní zdravotní ústav</w:t>
                    </w:r>
                  </w:p>
                </w:txbxContent>
              </v:textbox>
              <w10:wrap type="square"/>
            </v:shape>
          </w:pict>
        </mc:Fallback>
      </mc:AlternateContent>
    </w:r>
    <w:r w:rsidRPr="004120FA">
      <w:rPr>
        <w:noProof/>
        <w:lang w:eastAsia="cs-CZ"/>
      </w:rPr>
      <w:drawing>
        <wp:anchor distT="0" distB="0" distL="114300" distR="114300" simplePos="0" relativeHeight="251657216" behindDoc="0" locked="0" layoutInCell="1" allowOverlap="0" wp14:anchorId="275F7568" wp14:editId="5F8AD08C">
          <wp:simplePos x="0" y="0"/>
          <wp:positionH relativeFrom="leftMargin">
            <wp:posOffset>390525</wp:posOffset>
          </wp:positionH>
          <wp:positionV relativeFrom="topMargin">
            <wp:posOffset>233680</wp:posOffset>
          </wp:positionV>
          <wp:extent cx="1626021" cy="1619250"/>
          <wp:effectExtent l="0" t="0" r="0" b="0"/>
          <wp:wrapNone/>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1626021" cy="16192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F6D1F" w14:textId="77777777" w:rsidR="00933509" w:rsidRDefault="0093350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1268AE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75A97BE"/>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5A364282"/>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18DE6EE0"/>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8D940BE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28D25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6612EA"/>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08851E"/>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10FB92"/>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697ADD6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755C"/>
    <w:multiLevelType w:val="hybridMultilevel"/>
    <w:tmpl w:val="1F205EBA"/>
    <w:lvl w:ilvl="0" w:tplc="E28CA3B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CFF56C5"/>
    <w:multiLevelType w:val="hybridMultilevel"/>
    <w:tmpl w:val="8E803D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600411C"/>
    <w:multiLevelType w:val="hybridMultilevel"/>
    <w:tmpl w:val="3D7ABDE8"/>
    <w:lvl w:ilvl="0" w:tplc="F2C2BC1A">
      <w:numFmt w:val="bullet"/>
      <w:lvlText w:val="-"/>
      <w:lvlJc w:val="left"/>
      <w:pPr>
        <w:tabs>
          <w:tab w:val="num" w:pos="360"/>
        </w:tabs>
        <w:ind w:left="360" w:hanging="360"/>
      </w:pPr>
      <w:rPr>
        <w:rFonts w:ascii="Times New Roman" w:eastAsia="Times New Roman" w:hAnsi="Times New Roman" w:cs="Times New Roman"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1AA13D4F"/>
    <w:multiLevelType w:val="hybridMultilevel"/>
    <w:tmpl w:val="6CDA58B8"/>
    <w:lvl w:ilvl="0" w:tplc="E28CA3BE">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1FDA2D17"/>
    <w:multiLevelType w:val="hybridMultilevel"/>
    <w:tmpl w:val="01EAE242"/>
    <w:lvl w:ilvl="0" w:tplc="57DE30BE">
      <w:start w:val="1"/>
      <w:numFmt w:val="bullet"/>
      <w:lvlText w:val="-"/>
      <w:lvlJc w:val="left"/>
      <w:pPr>
        <w:ind w:left="1004" w:hanging="360"/>
      </w:pPr>
      <w:rPr>
        <w:rFonts w:ascii="Calibri" w:hAnsi="Calibri"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2A21749E"/>
    <w:multiLevelType w:val="hybridMultilevel"/>
    <w:tmpl w:val="421CA8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1B948E4"/>
    <w:multiLevelType w:val="singleLevel"/>
    <w:tmpl w:val="049E9DD8"/>
    <w:lvl w:ilvl="0">
      <w:start w:val="1"/>
      <w:numFmt w:val="decimal"/>
      <w:lvlText w:val="%1."/>
      <w:lvlJc w:val="left"/>
      <w:pPr>
        <w:tabs>
          <w:tab w:val="num" w:pos="720"/>
        </w:tabs>
        <w:ind w:left="720" w:hanging="360"/>
      </w:pPr>
      <w:rPr>
        <w:rFonts w:ascii="Times New Roman" w:eastAsia="Times New Roman" w:hAnsi="Times New Roman" w:cs="Times New Roman" w:hint="default"/>
      </w:rPr>
    </w:lvl>
  </w:abstractNum>
  <w:abstractNum w:abstractNumId="17" w15:restartNumberingAfterBreak="0">
    <w:nsid w:val="32CA329D"/>
    <w:multiLevelType w:val="hybridMultilevel"/>
    <w:tmpl w:val="EC6804F0"/>
    <w:lvl w:ilvl="0" w:tplc="57DE30BE">
      <w:start w:val="1"/>
      <w:numFmt w:val="bullet"/>
      <w:lvlText w:val="-"/>
      <w:lvlJc w:val="left"/>
      <w:pPr>
        <w:ind w:left="360" w:hanging="360"/>
      </w:pPr>
      <w:rPr>
        <w:rFonts w:ascii="Calibri" w:hAnsi="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3AE17FE8"/>
    <w:multiLevelType w:val="hybridMultilevel"/>
    <w:tmpl w:val="0864273E"/>
    <w:lvl w:ilvl="0" w:tplc="E28CA3BE">
      <w:start w:val="1"/>
      <w:numFmt w:val="bullet"/>
      <w:lvlText w:val="­"/>
      <w:lvlJc w:val="left"/>
      <w:pPr>
        <w:ind w:left="360" w:hanging="360"/>
      </w:pPr>
      <w:rPr>
        <w:rFonts w:ascii="Times New Roman" w:hAnsi="Times New Roman" w:cs="Times New Roman" w:hint="default"/>
      </w:rPr>
    </w:lvl>
    <w:lvl w:ilvl="1" w:tplc="E28CA3BE">
      <w:start w:val="1"/>
      <w:numFmt w:val="bullet"/>
      <w:lvlText w:val="­"/>
      <w:lvlJc w:val="left"/>
      <w:pPr>
        <w:ind w:left="1080" w:hanging="360"/>
      </w:pPr>
      <w:rPr>
        <w:rFonts w:ascii="Times New Roman" w:hAnsi="Times New Roman" w:cs="Times New Roman"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3C4F751A"/>
    <w:multiLevelType w:val="hybridMultilevel"/>
    <w:tmpl w:val="6552647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434F6F82"/>
    <w:multiLevelType w:val="hybridMultilevel"/>
    <w:tmpl w:val="A2C8854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15:restartNumberingAfterBreak="0">
    <w:nsid w:val="4B7F1444"/>
    <w:multiLevelType w:val="hybridMultilevel"/>
    <w:tmpl w:val="4C20FBA2"/>
    <w:lvl w:ilvl="0" w:tplc="BAF49B9A">
      <w:start w:val="1"/>
      <w:numFmt w:val="bullet"/>
      <w:lvlText w:val="-"/>
      <w:lvlJc w:val="left"/>
      <w:pPr>
        <w:tabs>
          <w:tab w:val="num" w:pos="360"/>
        </w:tabs>
        <w:ind w:left="360" w:hanging="360"/>
      </w:pPr>
      <w:rPr>
        <w:rFonts w:ascii="Book Antiqua" w:hAnsi="Book Antiqua"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ED870C6"/>
    <w:multiLevelType w:val="hybridMultilevel"/>
    <w:tmpl w:val="3912E2AE"/>
    <w:lvl w:ilvl="0" w:tplc="2EFE526C">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64735D3"/>
    <w:multiLevelType w:val="hybridMultilevel"/>
    <w:tmpl w:val="5A26F06E"/>
    <w:lvl w:ilvl="0" w:tplc="57DE30BE">
      <w:start w:val="1"/>
      <w:numFmt w:val="bullet"/>
      <w:lvlText w:val="-"/>
      <w:lvlJc w:val="left"/>
      <w:pPr>
        <w:ind w:left="1004" w:hanging="360"/>
      </w:pPr>
      <w:rPr>
        <w:rFonts w:ascii="Calibri" w:hAnsi="Calibri"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4" w15:restartNumberingAfterBreak="0">
    <w:nsid w:val="59073906"/>
    <w:multiLevelType w:val="hybridMultilevel"/>
    <w:tmpl w:val="C84E035E"/>
    <w:lvl w:ilvl="0" w:tplc="C50AAA96">
      <w:start w:val="1"/>
      <w:numFmt w:val="bullet"/>
      <w:lvlText w:val=""/>
      <w:lvlJc w:val="left"/>
      <w:pPr>
        <w:tabs>
          <w:tab w:val="num" w:pos="360"/>
        </w:tabs>
        <w:ind w:left="360" w:hanging="360"/>
      </w:pPr>
      <w:rPr>
        <w:rFonts w:ascii="Symbol" w:hAnsi="Symbol" w:hint="default"/>
      </w:rPr>
    </w:lvl>
    <w:lvl w:ilvl="1" w:tplc="CC3A483E" w:tentative="1">
      <w:start w:val="1"/>
      <w:numFmt w:val="bullet"/>
      <w:lvlText w:val="o"/>
      <w:lvlJc w:val="left"/>
      <w:pPr>
        <w:tabs>
          <w:tab w:val="num" w:pos="1440"/>
        </w:tabs>
        <w:ind w:left="1440" w:hanging="360"/>
      </w:pPr>
      <w:rPr>
        <w:rFonts w:ascii="Courier New" w:hAnsi="Courier New" w:cs="Courier New" w:hint="default"/>
      </w:rPr>
    </w:lvl>
    <w:lvl w:ilvl="2" w:tplc="D5DE2DDE" w:tentative="1">
      <w:start w:val="1"/>
      <w:numFmt w:val="bullet"/>
      <w:lvlText w:val=""/>
      <w:lvlJc w:val="left"/>
      <w:pPr>
        <w:tabs>
          <w:tab w:val="num" w:pos="2160"/>
        </w:tabs>
        <w:ind w:left="2160" w:hanging="360"/>
      </w:pPr>
      <w:rPr>
        <w:rFonts w:ascii="Wingdings" w:hAnsi="Wingdings" w:hint="default"/>
      </w:rPr>
    </w:lvl>
    <w:lvl w:ilvl="3" w:tplc="2C1A3936" w:tentative="1">
      <w:start w:val="1"/>
      <w:numFmt w:val="bullet"/>
      <w:lvlText w:val=""/>
      <w:lvlJc w:val="left"/>
      <w:pPr>
        <w:tabs>
          <w:tab w:val="num" w:pos="2880"/>
        </w:tabs>
        <w:ind w:left="2880" w:hanging="360"/>
      </w:pPr>
      <w:rPr>
        <w:rFonts w:ascii="Symbol" w:hAnsi="Symbol" w:hint="default"/>
      </w:rPr>
    </w:lvl>
    <w:lvl w:ilvl="4" w:tplc="41F836D2" w:tentative="1">
      <w:start w:val="1"/>
      <w:numFmt w:val="bullet"/>
      <w:lvlText w:val="o"/>
      <w:lvlJc w:val="left"/>
      <w:pPr>
        <w:tabs>
          <w:tab w:val="num" w:pos="3600"/>
        </w:tabs>
        <w:ind w:left="3600" w:hanging="360"/>
      </w:pPr>
      <w:rPr>
        <w:rFonts w:ascii="Courier New" w:hAnsi="Courier New" w:cs="Courier New" w:hint="default"/>
      </w:rPr>
    </w:lvl>
    <w:lvl w:ilvl="5" w:tplc="7EE6CCA8" w:tentative="1">
      <w:start w:val="1"/>
      <w:numFmt w:val="bullet"/>
      <w:lvlText w:val=""/>
      <w:lvlJc w:val="left"/>
      <w:pPr>
        <w:tabs>
          <w:tab w:val="num" w:pos="4320"/>
        </w:tabs>
        <w:ind w:left="4320" w:hanging="360"/>
      </w:pPr>
      <w:rPr>
        <w:rFonts w:ascii="Wingdings" w:hAnsi="Wingdings" w:hint="default"/>
      </w:rPr>
    </w:lvl>
    <w:lvl w:ilvl="6" w:tplc="BC9401B8" w:tentative="1">
      <w:start w:val="1"/>
      <w:numFmt w:val="bullet"/>
      <w:lvlText w:val=""/>
      <w:lvlJc w:val="left"/>
      <w:pPr>
        <w:tabs>
          <w:tab w:val="num" w:pos="5040"/>
        </w:tabs>
        <w:ind w:left="5040" w:hanging="360"/>
      </w:pPr>
      <w:rPr>
        <w:rFonts w:ascii="Symbol" w:hAnsi="Symbol" w:hint="default"/>
      </w:rPr>
    </w:lvl>
    <w:lvl w:ilvl="7" w:tplc="3E5E1A04" w:tentative="1">
      <w:start w:val="1"/>
      <w:numFmt w:val="bullet"/>
      <w:lvlText w:val="o"/>
      <w:lvlJc w:val="left"/>
      <w:pPr>
        <w:tabs>
          <w:tab w:val="num" w:pos="5760"/>
        </w:tabs>
        <w:ind w:left="5760" w:hanging="360"/>
      </w:pPr>
      <w:rPr>
        <w:rFonts w:ascii="Courier New" w:hAnsi="Courier New" w:cs="Courier New" w:hint="default"/>
      </w:rPr>
    </w:lvl>
    <w:lvl w:ilvl="8" w:tplc="7DEEA43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CC4B17"/>
    <w:multiLevelType w:val="hybridMultilevel"/>
    <w:tmpl w:val="0F404B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FF45619"/>
    <w:multiLevelType w:val="hybridMultilevel"/>
    <w:tmpl w:val="7A8E10F6"/>
    <w:lvl w:ilvl="0" w:tplc="2EFE526C">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63075CE9"/>
    <w:multiLevelType w:val="hybridMultilevel"/>
    <w:tmpl w:val="E6C2330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633231FA"/>
    <w:multiLevelType w:val="hybridMultilevel"/>
    <w:tmpl w:val="F4D66646"/>
    <w:lvl w:ilvl="0" w:tplc="A2B0E30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1F162B"/>
    <w:multiLevelType w:val="hybridMultilevel"/>
    <w:tmpl w:val="47CE3350"/>
    <w:lvl w:ilvl="0" w:tplc="3F36546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71E2B0B"/>
    <w:multiLevelType w:val="hybridMultilevel"/>
    <w:tmpl w:val="44063026"/>
    <w:lvl w:ilvl="0" w:tplc="AE94E4A0">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6A6C0D65"/>
    <w:multiLevelType w:val="hybridMultilevel"/>
    <w:tmpl w:val="E312AA72"/>
    <w:lvl w:ilvl="0" w:tplc="C614700C">
      <w:start w:val="1"/>
      <w:numFmt w:val="bullet"/>
      <w:lvlText w:val=""/>
      <w:lvlJc w:val="left"/>
      <w:pPr>
        <w:tabs>
          <w:tab w:val="num" w:pos="540"/>
        </w:tabs>
        <w:ind w:left="540" w:hanging="360"/>
      </w:pPr>
      <w:rPr>
        <w:rFonts w:ascii="Symbol" w:hAnsi="Symbol" w:hint="default"/>
      </w:rPr>
    </w:lvl>
    <w:lvl w:ilvl="1" w:tplc="04050003">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2" w15:restartNumberingAfterBreak="0">
    <w:nsid w:val="73F12D90"/>
    <w:multiLevelType w:val="hybridMultilevel"/>
    <w:tmpl w:val="32847800"/>
    <w:lvl w:ilvl="0" w:tplc="0405000F">
      <w:start w:val="1"/>
      <w:numFmt w:val="decimal"/>
      <w:lvlText w:val="%1."/>
      <w:lvlJc w:val="left"/>
      <w:pPr>
        <w:tabs>
          <w:tab w:val="num" w:pos="360"/>
        </w:tabs>
        <w:ind w:left="36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47A2BAE"/>
    <w:multiLevelType w:val="hybridMultilevel"/>
    <w:tmpl w:val="E810733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4" w15:restartNumberingAfterBreak="0">
    <w:nsid w:val="752E2935"/>
    <w:multiLevelType w:val="hybridMultilevel"/>
    <w:tmpl w:val="FFD2D8A0"/>
    <w:lvl w:ilvl="0" w:tplc="F2C2BC1A">
      <w:numFmt w:val="bullet"/>
      <w:lvlText w:val="-"/>
      <w:lvlJc w:val="left"/>
      <w:pPr>
        <w:ind w:left="360" w:hanging="360"/>
      </w:pPr>
      <w:rPr>
        <w:rFonts w:ascii="Times New Roman" w:eastAsia="Times New Roman" w:hAnsi="Times New Roman" w:cs="Times New Roman" w:hint="default"/>
      </w:rPr>
    </w:lvl>
    <w:lvl w:ilvl="1" w:tplc="F2C2BC1A">
      <w:numFmt w:val="bullet"/>
      <w:lvlText w:val="-"/>
      <w:lvlJc w:val="left"/>
      <w:pPr>
        <w:ind w:left="1080" w:hanging="360"/>
      </w:pPr>
      <w:rPr>
        <w:rFonts w:ascii="Times New Roman" w:eastAsia="Times New Roman" w:hAnsi="Times New Roman" w:cs="Times New Roman"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77C473DF"/>
    <w:multiLevelType w:val="hybridMultilevel"/>
    <w:tmpl w:val="F1D6263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abstractNumId w:val="21"/>
  </w:num>
  <w:num w:numId="2">
    <w:abstractNumId w:val="3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30"/>
  </w:num>
  <w:num w:numId="14">
    <w:abstractNumId w:val="27"/>
  </w:num>
  <w:num w:numId="15">
    <w:abstractNumId w:val="28"/>
  </w:num>
  <w:num w:numId="16">
    <w:abstractNumId w:val="26"/>
  </w:num>
  <w:num w:numId="17">
    <w:abstractNumId w:val="16"/>
  </w:num>
  <w:num w:numId="18">
    <w:abstractNumId w:val="32"/>
  </w:num>
  <w:num w:numId="19">
    <w:abstractNumId w:val="11"/>
  </w:num>
  <w:num w:numId="20">
    <w:abstractNumId w:val="24"/>
  </w:num>
  <w:num w:numId="21">
    <w:abstractNumId w:val="12"/>
  </w:num>
  <w:num w:numId="22">
    <w:abstractNumId w:val="35"/>
  </w:num>
  <w:num w:numId="23">
    <w:abstractNumId w:val="33"/>
  </w:num>
  <w:num w:numId="24">
    <w:abstractNumId w:val="22"/>
  </w:num>
  <w:num w:numId="25">
    <w:abstractNumId w:val="10"/>
  </w:num>
  <w:num w:numId="26">
    <w:abstractNumId w:val="13"/>
  </w:num>
  <w:num w:numId="27">
    <w:abstractNumId w:val="25"/>
  </w:num>
  <w:num w:numId="28">
    <w:abstractNumId w:val="20"/>
  </w:num>
  <w:num w:numId="29">
    <w:abstractNumId w:val="29"/>
  </w:num>
  <w:num w:numId="30">
    <w:abstractNumId w:val="34"/>
  </w:num>
  <w:num w:numId="31">
    <w:abstractNumId w:val="18"/>
  </w:num>
  <w:num w:numId="32">
    <w:abstractNumId w:val="14"/>
  </w:num>
  <w:num w:numId="33">
    <w:abstractNumId w:val="15"/>
  </w:num>
  <w:num w:numId="34">
    <w:abstractNumId w:val="19"/>
  </w:num>
  <w:num w:numId="35">
    <w:abstractNumId w:val="23"/>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835"/>
    <w:rsid w:val="00014252"/>
    <w:rsid w:val="0001428D"/>
    <w:rsid w:val="00023160"/>
    <w:rsid w:val="00061932"/>
    <w:rsid w:val="00082E69"/>
    <w:rsid w:val="00083801"/>
    <w:rsid w:val="00084714"/>
    <w:rsid w:val="000A70E6"/>
    <w:rsid w:val="000B1AE2"/>
    <w:rsid w:val="000C48D7"/>
    <w:rsid w:val="000E2D52"/>
    <w:rsid w:val="000F478F"/>
    <w:rsid w:val="00103BEF"/>
    <w:rsid w:val="0012137B"/>
    <w:rsid w:val="00125420"/>
    <w:rsid w:val="00134AA1"/>
    <w:rsid w:val="001376C2"/>
    <w:rsid w:val="001507B2"/>
    <w:rsid w:val="00151063"/>
    <w:rsid w:val="0015411D"/>
    <w:rsid w:val="00154714"/>
    <w:rsid w:val="00160547"/>
    <w:rsid w:val="00194AEB"/>
    <w:rsid w:val="00196A0E"/>
    <w:rsid w:val="001A44BC"/>
    <w:rsid w:val="001E1321"/>
    <w:rsid w:val="0020182E"/>
    <w:rsid w:val="00202685"/>
    <w:rsid w:val="00203B5D"/>
    <w:rsid w:val="00210972"/>
    <w:rsid w:val="00224B05"/>
    <w:rsid w:val="00241746"/>
    <w:rsid w:val="00270E26"/>
    <w:rsid w:val="002845DE"/>
    <w:rsid w:val="002A42F1"/>
    <w:rsid w:val="002E3DAB"/>
    <w:rsid w:val="002F70D4"/>
    <w:rsid w:val="002F7DDA"/>
    <w:rsid w:val="00307883"/>
    <w:rsid w:val="00314D52"/>
    <w:rsid w:val="0032422F"/>
    <w:rsid w:val="00356434"/>
    <w:rsid w:val="00380C5D"/>
    <w:rsid w:val="003B66EE"/>
    <w:rsid w:val="003E1757"/>
    <w:rsid w:val="003F0C4D"/>
    <w:rsid w:val="003F1BE8"/>
    <w:rsid w:val="003F447F"/>
    <w:rsid w:val="00410E36"/>
    <w:rsid w:val="004120FA"/>
    <w:rsid w:val="00450EDF"/>
    <w:rsid w:val="00471D7C"/>
    <w:rsid w:val="004B04EC"/>
    <w:rsid w:val="004B5269"/>
    <w:rsid w:val="004D1DD3"/>
    <w:rsid w:val="004F0050"/>
    <w:rsid w:val="005041D0"/>
    <w:rsid w:val="00506942"/>
    <w:rsid w:val="005111C0"/>
    <w:rsid w:val="005366A5"/>
    <w:rsid w:val="00552610"/>
    <w:rsid w:val="005551CD"/>
    <w:rsid w:val="00561753"/>
    <w:rsid w:val="00561E65"/>
    <w:rsid w:val="00575018"/>
    <w:rsid w:val="00580A44"/>
    <w:rsid w:val="005A7674"/>
    <w:rsid w:val="005A7C7F"/>
    <w:rsid w:val="005B6ECF"/>
    <w:rsid w:val="005B6F48"/>
    <w:rsid w:val="005C3B56"/>
    <w:rsid w:val="005C4FC1"/>
    <w:rsid w:val="006174A9"/>
    <w:rsid w:val="00617B0F"/>
    <w:rsid w:val="0065621A"/>
    <w:rsid w:val="00656A73"/>
    <w:rsid w:val="006729BB"/>
    <w:rsid w:val="00672A19"/>
    <w:rsid w:val="00673C60"/>
    <w:rsid w:val="00687DA1"/>
    <w:rsid w:val="006943CA"/>
    <w:rsid w:val="006A52EA"/>
    <w:rsid w:val="006B45B7"/>
    <w:rsid w:val="006B5E35"/>
    <w:rsid w:val="006C6727"/>
    <w:rsid w:val="006F4AEE"/>
    <w:rsid w:val="0071025F"/>
    <w:rsid w:val="0071112F"/>
    <w:rsid w:val="007157F4"/>
    <w:rsid w:val="007217B1"/>
    <w:rsid w:val="007439C3"/>
    <w:rsid w:val="0075039F"/>
    <w:rsid w:val="00766CD7"/>
    <w:rsid w:val="00772258"/>
    <w:rsid w:val="0079316B"/>
    <w:rsid w:val="007E597D"/>
    <w:rsid w:val="0081428E"/>
    <w:rsid w:val="00815514"/>
    <w:rsid w:val="00830024"/>
    <w:rsid w:val="00852E44"/>
    <w:rsid w:val="00857984"/>
    <w:rsid w:val="00861B49"/>
    <w:rsid w:val="008A05AB"/>
    <w:rsid w:val="008C3D3C"/>
    <w:rsid w:val="008C47B8"/>
    <w:rsid w:val="008D2C45"/>
    <w:rsid w:val="008D3E22"/>
    <w:rsid w:val="0093341D"/>
    <w:rsid w:val="00933509"/>
    <w:rsid w:val="00935FE6"/>
    <w:rsid w:val="00962504"/>
    <w:rsid w:val="009764C2"/>
    <w:rsid w:val="00993846"/>
    <w:rsid w:val="009A0564"/>
    <w:rsid w:val="009A4D82"/>
    <w:rsid w:val="009B6A4B"/>
    <w:rsid w:val="009B6D13"/>
    <w:rsid w:val="009C38D4"/>
    <w:rsid w:val="009D2890"/>
    <w:rsid w:val="009D2B88"/>
    <w:rsid w:val="009E26E1"/>
    <w:rsid w:val="009E426D"/>
    <w:rsid w:val="009E4A84"/>
    <w:rsid w:val="009E5139"/>
    <w:rsid w:val="009F1FB1"/>
    <w:rsid w:val="009F2B5E"/>
    <w:rsid w:val="00A42F45"/>
    <w:rsid w:val="00A6481E"/>
    <w:rsid w:val="00A724FA"/>
    <w:rsid w:val="00A76EBC"/>
    <w:rsid w:val="00A80455"/>
    <w:rsid w:val="00AB69E5"/>
    <w:rsid w:val="00AB6EBA"/>
    <w:rsid w:val="00AB7D9E"/>
    <w:rsid w:val="00AD4497"/>
    <w:rsid w:val="00B25D16"/>
    <w:rsid w:val="00B65F87"/>
    <w:rsid w:val="00B77962"/>
    <w:rsid w:val="00B918B3"/>
    <w:rsid w:val="00BA0C7A"/>
    <w:rsid w:val="00BA72A0"/>
    <w:rsid w:val="00BF6B8D"/>
    <w:rsid w:val="00C06DC0"/>
    <w:rsid w:val="00C264EC"/>
    <w:rsid w:val="00C30852"/>
    <w:rsid w:val="00C51B52"/>
    <w:rsid w:val="00C54E1E"/>
    <w:rsid w:val="00C569D0"/>
    <w:rsid w:val="00C60FA4"/>
    <w:rsid w:val="00C655C1"/>
    <w:rsid w:val="00C82B83"/>
    <w:rsid w:val="00CA0CEC"/>
    <w:rsid w:val="00CA514E"/>
    <w:rsid w:val="00CC08ED"/>
    <w:rsid w:val="00CE1B91"/>
    <w:rsid w:val="00D00416"/>
    <w:rsid w:val="00D01015"/>
    <w:rsid w:val="00D03250"/>
    <w:rsid w:val="00D30858"/>
    <w:rsid w:val="00D30EF9"/>
    <w:rsid w:val="00D42594"/>
    <w:rsid w:val="00D45DC4"/>
    <w:rsid w:val="00D62483"/>
    <w:rsid w:val="00D66167"/>
    <w:rsid w:val="00DD3EED"/>
    <w:rsid w:val="00DD4950"/>
    <w:rsid w:val="00E54835"/>
    <w:rsid w:val="00EB56AC"/>
    <w:rsid w:val="00EC7982"/>
    <w:rsid w:val="00EF2C41"/>
    <w:rsid w:val="00F03D24"/>
    <w:rsid w:val="00F068F3"/>
    <w:rsid w:val="00F12415"/>
    <w:rsid w:val="00F37CA6"/>
    <w:rsid w:val="00F526AE"/>
    <w:rsid w:val="00F7529A"/>
    <w:rsid w:val="00F8550C"/>
    <w:rsid w:val="00F879CB"/>
    <w:rsid w:val="00FD15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C355D"/>
  <w15:chartTrackingRefBased/>
  <w15:docId w15:val="{AF61433E-F211-4020-9828-37CC070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550C"/>
    <w:pPr>
      <w:autoSpaceDE w:val="0"/>
      <w:autoSpaceDN w:val="0"/>
      <w:adjustRightInd w:val="0"/>
      <w:spacing w:after="0" w:line="288" w:lineRule="auto"/>
      <w:textAlignment w:val="center"/>
    </w:pPr>
    <w:rPr>
      <w:rFonts w:ascii="Mulish" w:hAnsi="Mulish" w:cs="Mulish"/>
      <w:color w:val="000000" w:themeColor="text1"/>
      <w:sz w:val="20"/>
      <w:szCs w:val="20"/>
    </w:rPr>
  </w:style>
  <w:style w:type="paragraph" w:styleId="Nadpis1">
    <w:name w:val="heading 1"/>
    <w:basedOn w:val="Normln"/>
    <w:next w:val="Normln"/>
    <w:link w:val="Nadpis1Char"/>
    <w:qFormat/>
    <w:rsid w:val="00380C5D"/>
    <w:pPr>
      <w:keepNext/>
      <w:keepLines/>
      <w:spacing w:before="240"/>
      <w:outlineLvl w:val="0"/>
    </w:pPr>
    <w:rPr>
      <w:rFonts w:eastAsiaTheme="majorEastAsia" w:cstheme="majorBidi"/>
      <w:b/>
      <w:color w:val="005984"/>
      <w:sz w:val="32"/>
      <w:szCs w:val="32"/>
    </w:rPr>
  </w:style>
  <w:style w:type="paragraph" w:styleId="Nadpis2">
    <w:name w:val="heading 2"/>
    <w:aliases w:val="Nadpis 2 Char1 Char"/>
    <w:basedOn w:val="Normln"/>
    <w:next w:val="Normln"/>
    <w:link w:val="Nadpis2Char"/>
    <w:unhideWhenUsed/>
    <w:qFormat/>
    <w:rsid w:val="00380C5D"/>
    <w:pPr>
      <w:keepNext/>
      <w:keepLines/>
      <w:spacing w:before="40"/>
      <w:outlineLvl w:val="1"/>
    </w:pPr>
    <w:rPr>
      <w:rFonts w:eastAsiaTheme="majorEastAsia" w:cstheme="majorBidi"/>
      <w:b/>
      <w:sz w:val="26"/>
      <w:szCs w:val="26"/>
    </w:rPr>
  </w:style>
  <w:style w:type="paragraph" w:styleId="Nadpis3">
    <w:name w:val="heading 3"/>
    <w:basedOn w:val="Normln"/>
    <w:next w:val="Normln"/>
    <w:link w:val="Nadpis3Char"/>
    <w:unhideWhenUsed/>
    <w:qFormat/>
    <w:rsid w:val="00380C5D"/>
    <w:pPr>
      <w:keepNext/>
      <w:keepLines/>
      <w:spacing w:before="40"/>
      <w:outlineLvl w:val="2"/>
    </w:pPr>
    <w:rPr>
      <w:rFonts w:eastAsiaTheme="majorEastAsia" w:cstheme="majorBidi"/>
      <w:b/>
      <w:sz w:val="24"/>
      <w:szCs w:val="24"/>
    </w:rPr>
  </w:style>
  <w:style w:type="paragraph" w:styleId="Nadpis4">
    <w:name w:val="heading 4"/>
    <w:basedOn w:val="Normln"/>
    <w:next w:val="Normln"/>
    <w:link w:val="Nadpis4Char"/>
    <w:unhideWhenUsed/>
    <w:qFormat/>
    <w:rsid w:val="009E26E1"/>
    <w:pPr>
      <w:keepNext/>
      <w:keepLines/>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qFormat/>
    <w:rsid w:val="00830024"/>
    <w:pPr>
      <w:autoSpaceDE/>
      <w:autoSpaceDN/>
      <w:adjustRightInd/>
      <w:spacing w:before="240" w:after="60" w:line="240" w:lineRule="auto"/>
      <w:textAlignment w:val="auto"/>
      <w:outlineLvl w:val="4"/>
    </w:pPr>
    <w:rPr>
      <w:rFonts w:ascii="MS Serif" w:eastAsia="Times New Roman" w:hAnsi="MS Serif" w:cs="Times New Roman"/>
      <w:b/>
      <w:bCs/>
      <w:i/>
      <w:iCs/>
      <w:noProof/>
      <w:color w:val="auto"/>
      <w:sz w:val="26"/>
      <w:szCs w:val="26"/>
      <w:lang w:eastAsia="cs-CZ"/>
      <w14:shadow w14:blurRad="50800" w14:dist="38100" w14:dir="2700000" w14:sx="100000" w14:sy="100000" w14:kx="0" w14:ky="0" w14:algn="tl">
        <w14:srgbClr w14:val="000000">
          <w14:alpha w14:val="60000"/>
        </w14:srgbClr>
      </w14:shadow>
    </w:rPr>
  </w:style>
  <w:style w:type="paragraph" w:styleId="Nadpis6">
    <w:name w:val="heading 6"/>
    <w:basedOn w:val="Normln"/>
    <w:next w:val="Normln"/>
    <w:link w:val="Nadpis6Char"/>
    <w:qFormat/>
    <w:rsid w:val="00830024"/>
    <w:pPr>
      <w:keepNext/>
      <w:autoSpaceDE/>
      <w:autoSpaceDN/>
      <w:adjustRightInd/>
      <w:spacing w:line="240" w:lineRule="auto"/>
      <w:jc w:val="center"/>
      <w:textAlignment w:val="auto"/>
      <w:outlineLvl w:val="5"/>
    </w:pPr>
    <w:rPr>
      <w:rFonts w:ascii="Courier New" w:eastAsia="Times New Roman" w:hAnsi="Courier New" w:cs="Times New Roman"/>
      <w:b/>
      <w:snapToGrid w:val="0"/>
      <w:color w:val="000000"/>
      <w:lang w:eastAsia="cs-CZ"/>
    </w:rPr>
  </w:style>
  <w:style w:type="paragraph" w:styleId="Nadpis7">
    <w:name w:val="heading 7"/>
    <w:basedOn w:val="Normln"/>
    <w:next w:val="Normln"/>
    <w:link w:val="Nadpis7Char"/>
    <w:qFormat/>
    <w:rsid w:val="00830024"/>
    <w:pPr>
      <w:keepNext/>
      <w:tabs>
        <w:tab w:val="left" w:pos="4890"/>
      </w:tabs>
      <w:autoSpaceDE/>
      <w:autoSpaceDN/>
      <w:adjustRightInd/>
      <w:spacing w:line="240" w:lineRule="auto"/>
      <w:textAlignment w:val="auto"/>
      <w:outlineLvl w:val="6"/>
    </w:pPr>
    <w:rPr>
      <w:rFonts w:ascii="Book Antiqua" w:eastAsia="Times New Roman" w:hAnsi="Book Antiqua" w:cs="Times New Roman"/>
      <w:b/>
      <w:noProof/>
      <w:color w:val="auto"/>
      <w:sz w:val="22"/>
      <w:lang w:eastAsia="cs-CZ"/>
    </w:rPr>
  </w:style>
  <w:style w:type="paragraph" w:styleId="Nadpis8">
    <w:name w:val="heading 8"/>
    <w:basedOn w:val="Normln"/>
    <w:next w:val="Normln"/>
    <w:link w:val="Nadpis8Char"/>
    <w:qFormat/>
    <w:rsid w:val="00830024"/>
    <w:pPr>
      <w:keepNext/>
      <w:autoSpaceDE/>
      <w:autoSpaceDN/>
      <w:adjustRightInd/>
      <w:spacing w:line="240" w:lineRule="auto"/>
      <w:jc w:val="both"/>
      <w:textAlignment w:val="auto"/>
      <w:outlineLvl w:val="7"/>
    </w:pPr>
    <w:rPr>
      <w:rFonts w:ascii="Book Antiqua" w:eastAsia="Times New Roman" w:hAnsi="Book Antiqua" w:cs="Times New Roman"/>
      <w:snapToGrid w:val="0"/>
      <w:color w:val="0000FF"/>
      <w:sz w:val="24"/>
      <w:lang w:eastAsia="cs-CZ"/>
    </w:rPr>
  </w:style>
  <w:style w:type="paragraph" w:styleId="Nadpis9">
    <w:name w:val="heading 9"/>
    <w:basedOn w:val="Normln"/>
    <w:next w:val="Normln"/>
    <w:link w:val="Nadpis9Char"/>
    <w:qFormat/>
    <w:rsid w:val="00830024"/>
    <w:pPr>
      <w:keepNext/>
      <w:autoSpaceDE/>
      <w:autoSpaceDN/>
      <w:adjustRightInd/>
      <w:spacing w:line="240" w:lineRule="auto"/>
      <w:textAlignment w:val="auto"/>
      <w:outlineLvl w:val="8"/>
    </w:pPr>
    <w:rPr>
      <w:rFonts w:ascii="Book Antiqua" w:eastAsia="Times New Roman" w:hAnsi="Book Antiqua" w:cs="Times New Roman"/>
      <w:b/>
      <w:snapToGrid w:val="0"/>
      <w:color w:val="000000"/>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80C5D"/>
    <w:rPr>
      <w:rFonts w:ascii="Mulish" w:eastAsiaTheme="majorEastAsia" w:hAnsi="Mulish" w:cstheme="majorBidi"/>
      <w:b/>
      <w:color w:val="005984"/>
      <w:sz w:val="32"/>
      <w:szCs w:val="32"/>
    </w:rPr>
  </w:style>
  <w:style w:type="character" w:customStyle="1" w:styleId="Nadpis2Char">
    <w:name w:val="Nadpis 2 Char"/>
    <w:aliases w:val="Nadpis 2 Char1 Char Char1"/>
    <w:basedOn w:val="Standardnpsmoodstavce"/>
    <w:link w:val="Nadpis2"/>
    <w:rsid w:val="00380C5D"/>
    <w:rPr>
      <w:rFonts w:ascii="Mulish" w:eastAsiaTheme="majorEastAsia" w:hAnsi="Mulish" w:cstheme="majorBidi"/>
      <w:b/>
      <w:color w:val="000000" w:themeColor="text1"/>
      <w:sz w:val="26"/>
      <w:szCs w:val="26"/>
    </w:rPr>
  </w:style>
  <w:style w:type="character" w:customStyle="1" w:styleId="Nadpis3Char">
    <w:name w:val="Nadpis 3 Char"/>
    <w:basedOn w:val="Standardnpsmoodstavce"/>
    <w:link w:val="Nadpis3"/>
    <w:rsid w:val="00380C5D"/>
    <w:rPr>
      <w:rFonts w:ascii="Mulish" w:eastAsiaTheme="majorEastAsia" w:hAnsi="Mulish" w:cstheme="majorBidi"/>
      <w:b/>
      <w:color w:val="000000" w:themeColor="text1"/>
      <w:sz w:val="24"/>
      <w:szCs w:val="24"/>
    </w:rPr>
  </w:style>
  <w:style w:type="character" w:customStyle="1" w:styleId="Nadpis4Char">
    <w:name w:val="Nadpis 4 Char"/>
    <w:basedOn w:val="Standardnpsmoodstavce"/>
    <w:link w:val="Nadpis4"/>
    <w:rsid w:val="009E26E1"/>
    <w:rPr>
      <w:rFonts w:asciiTheme="majorHAnsi" w:eastAsiaTheme="majorEastAsia" w:hAnsiTheme="majorHAnsi" w:cstheme="majorBidi"/>
      <w:i/>
      <w:iCs/>
      <w:color w:val="2F5496" w:themeColor="accent1" w:themeShade="BF"/>
      <w:sz w:val="20"/>
      <w:szCs w:val="20"/>
    </w:rPr>
  </w:style>
  <w:style w:type="character" w:customStyle="1" w:styleId="Nadpis5Char">
    <w:name w:val="Nadpis 5 Char"/>
    <w:basedOn w:val="Standardnpsmoodstavce"/>
    <w:link w:val="Nadpis5"/>
    <w:rsid w:val="00830024"/>
    <w:rPr>
      <w:rFonts w:ascii="MS Serif" w:eastAsia="Times New Roman" w:hAnsi="MS Serif" w:cs="Times New Roman"/>
      <w:b/>
      <w:bCs/>
      <w:i/>
      <w:iCs/>
      <w:noProof/>
      <w:sz w:val="26"/>
      <w:szCs w:val="26"/>
      <w:lang w:eastAsia="cs-CZ"/>
      <w14:shadow w14:blurRad="50800" w14:dist="38100" w14:dir="2700000" w14:sx="100000" w14:sy="100000" w14:kx="0" w14:ky="0" w14:algn="tl">
        <w14:srgbClr w14:val="000000">
          <w14:alpha w14:val="60000"/>
        </w14:srgbClr>
      </w14:shadow>
    </w:rPr>
  </w:style>
  <w:style w:type="character" w:customStyle="1" w:styleId="Nadpis6Char">
    <w:name w:val="Nadpis 6 Char"/>
    <w:basedOn w:val="Standardnpsmoodstavce"/>
    <w:link w:val="Nadpis6"/>
    <w:rsid w:val="00830024"/>
    <w:rPr>
      <w:rFonts w:ascii="Courier New" w:eastAsia="Times New Roman" w:hAnsi="Courier New" w:cs="Times New Roman"/>
      <w:b/>
      <w:snapToGrid w:val="0"/>
      <w:color w:val="000000"/>
      <w:sz w:val="20"/>
      <w:szCs w:val="20"/>
      <w:lang w:eastAsia="cs-CZ"/>
    </w:rPr>
  </w:style>
  <w:style w:type="character" w:customStyle="1" w:styleId="Nadpis7Char">
    <w:name w:val="Nadpis 7 Char"/>
    <w:basedOn w:val="Standardnpsmoodstavce"/>
    <w:link w:val="Nadpis7"/>
    <w:rsid w:val="00830024"/>
    <w:rPr>
      <w:rFonts w:ascii="Book Antiqua" w:eastAsia="Times New Roman" w:hAnsi="Book Antiqua" w:cs="Times New Roman"/>
      <w:b/>
      <w:noProof/>
      <w:szCs w:val="20"/>
      <w:lang w:eastAsia="cs-CZ"/>
    </w:rPr>
  </w:style>
  <w:style w:type="character" w:customStyle="1" w:styleId="Nadpis8Char">
    <w:name w:val="Nadpis 8 Char"/>
    <w:basedOn w:val="Standardnpsmoodstavce"/>
    <w:link w:val="Nadpis8"/>
    <w:rsid w:val="00830024"/>
    <w:rPr>
      <w:rFonts w:ascii="Book Antiqua" w:eastAsia="Times New Roman" w:hAnsi="Book Antiqua" w:cs="Times New Roman"/>
      <w:snapToGrid w:val="0"/>
      <w:color w:val="0000FF"/>
      <w:sz w:val="24"/>
      <w:szCs w:val="20"/>
      <w:lang w:eastAsia="cs-CZ"/>
    </w:rPr>
  </w:style>
  <w:style w:type="character" w:customStyle="1" w:styleId="Nadpis9Char">
    <w:name w:val="Nadpis 9 Char"/>
    <w:basedOn w:val="Standardnpsmoodstavce"/>
    <w:link w:val="Nadpis9"/>
    <w:rsid w:val="00830024"/>
    <w:rPr>
      <w:rFonts w:ascii="Book Antiqua" w:eastAsia="Times New Roman" w:hAnsi="Book Antiqua" w:cs="Times New Roman"/>
      <w:b/>
      <w:snapToGrid w:val="0"/>
      <w:color w:val="000000"/>
      <w:szCs w:val="20"/>
      <w:lang w:eastAsia="cs-CZ"/>
    </w:rPr>
  </w:style>
  <w:style w:type="paragraph" w:styleId="Zhlav">
    <w:name w:val="header"/>
    <w:aliases w:val="Záhlaví1"/>
    <w:basedOn w:val="Normln"/>
    <w:link w:val="ZhlavChar"/>
    <w:unhideWhenUsed/>
    <w:rsid w:val="00E54835"/>
    <w:pPr>
      <w:tabs>
        <w:tab w:val="center" w:pos="4536"/>
        <w:tab w:val="right" w:pos="9072"/>
      </w:tabs>
      <w:spacing w:line="240" w:lineRule="auto"/>
    </w:pPr>
  </w:style>
  <w:style w:type="character" w:customStyle="1" w:styleId="ZhlavChar">
    <w:name w:val="Záhlaví Char"/>
    <w:aliases w:val="Záhlaví1 Char"/>
    <w:basedOn w:val="Standardnpsmoodstavce"/>
    <w:link w:val="Zhlav"/>
    <w:rsid w:val="00E54835"/>
  </w:style>
  <w:style w:type="paragraph" w:styleId="Zpat">
    <w:name w:val="footer"/>
    <w:basedOn w:val="Normln"/>
    <w:link w:val="ZpatChar"/>
    <w:unhideWhenUsed/>
    <w:rsid w:val="00E54835"/>
    <w:pPr>
      <w:tabs>
        <w:tab w:val="center" w:pos="4536"/>
        <w:tab w:val="right" w:pos="9072"/>
      </w:tabs>
      <w:spacing w:line="240" w:lineRule="auto"/>
    </w:pPr>
  </w:style>
  <w:style w:type="character" w:customStyle="1" w:styleId="ZpatChar">
    <w:name w:val="Zápatí Char"/>
    <w:basedOn w:val="Standardnpsmoodstavce"/>
    <w:link w:val="Zpat"/>
    <w:rsid w:val="00E54835"/>
  </w:style>
  <w:style w:type="paragraph" w:customStyle="1" w:styleId="Zkladnodstavec">
    <w:name w:val="[Základní odstavec]"/>
    <w:basedOn w:val="Normln"/>
    <w:link w:val="ZkladnodstavecChar"/>
    <w:uiPriority w:val="99"/>
    <w:rsid w:val="00D03250"/>
    <w:rPr>
      <w:rFonts w:ascii="Minion Pro" w:hAnsi="Minion Pro" w:cs="Minion Pro"/>
      <w:color w:val="000000"/>
      <w:sz w:val="24"/>
      <w:szCs w:val="24"/>
    </w:rPr>
  </w:style>
  <w:style w:type="character" w:customStyle="1" w:styleId="ZkladnodstavecChar">
    <w:name w:val="[Základní odstavec] Char"/>
    <w:basedOn w:val="Standardnpsmoodstavce"/>
    <w:link w:val="Zkladnodstavec"/>
    <w:uiPriority w:val="99"/>
    <w:rsid w:val="00D62483"/>
    <w:rPr>
      <w:rFonts w:ascii="Minion Pro" w:hAnsi="Minion Pro" w:cs="Minion Pro"/>
      <w:color w:val="000000"/>
      <w:sz w:val="24"/>
      <w:szCs w:val="24"/>
    </w:rPr>
  </w:style>
  <w:style w:type="character" w:customStyle="1" w:styleId="modryvyznaceni">
    <w:name w:val="modry vyznaceni"/>
    <w:uiPriority w:val="99"/>
    <w:rsid w:val="00203B5D"/>
    <w:rPr>
      <w:rFonts w:ascii="Public Sans" w:hAnsi="Public Sans" w:cs="Public Sans"/>
      <w:color w:val="0BB1D3"/>
      <w:sz w:val="20"/>
      <w:szCs w:val="20"/>
      <w:lang w:val="cs-CZ"/>
    </w:rPr>
  </w:style>
  <w:style w:type="paragraph" w:customStyle="1" w:styleId="NadpisSZ">
    <w:name w:val="Nadpis SZÚ"/>
    <w:basedOn w:val="Normln"/>
    <w:link w:val="NadpisSZChar"/>
    <w:rsid w:val="00380C5D"/>
    <w:rPr>
      <w:b/>
      <w:bCs/>
      <w:color w:val="005984"/>
      <w:sz w:val="32"/>
      <w:szCs w:val="32"/>
    </w:rPr>
  </w:style>
  <w:style w:type="character" w:customStyle="1" w:styleId="NadpisSZChar">
    <w:name w:val="Nadpis SZÚ Char"/>
    <w:basedOn w:val="Standardnpsmoodstavce"/>
    <w:link w:val="NadpisSZ"/>
    <w:rsid w:val="00380C5D"/>
    <w:rPr>
      <w:rFonts w:ascii="Mulish" w:hAnsi="Mulish" w:cs="Mulish"/>
      <w:b/>
      <w:bCs/>
      <w:color w:val="005984"/>
      <w:sz w:val="32"/>
      <w:szCs w:val="32"/>
    </w:rPr>
  </w:style>
  <w:style w:type="paragraph" w:customStyle="1" w:styleId="textSZ">
    <w:name w:val="text SZÚ"/>
    <w:basedOn w:val="Zkladnodstavec"/>
    <w:link w:val="textSZChar"/>
    <w:rsid w:val="00380C5D"/>
    <w:rPr>
      <w:rFonts w:ascii="Mulish" w:hAnsi="Mulish" w:cs="Mulish"/>
      <w:color w:val="auto"/>
      <w:sz w:val="20"/>
      <w:szCs w:val="20"/>
    </w:rPr>
  </w:style>
  <w:style w:type="character" w:customStyle="1" w:styleId="textSZChar">
    <w:name w:val="text SZÚ Char"/>
    <w:basedOn w:val="ZkladnodstavecChar"/>
    <w:link w:val="textSZ"/>
    <w:rsid w:val="00380C5D"/>
    <w:rPr>
      <w:rFonts w:ascii="Mulish" w:hAnsi="Mulish" w:cs="Mulish"/>
      <w:color w:val="000000"/>
      <w:sz w:val="20"/>
      <w:szCs w:val="20"/>
    </w:rPr>
  </w:style>
  <w:style w:type="paragraph" w:styleId="Bezmezer">
    <w:name w:val="No Spacing"/>
    <w:uiPriority w:val="1"/>
    <w:rsid w:val="00D62483"/>
    <w:pPr>
      <w:autoSpaceDE w:val="0"/>
      <w:autoSpaceDN w:val="0"/>
      <w:adjustRightInd w:val="0"/>
      <w:spacing w:after="0" w:line="240" w:lineRule="auto"/>
      <w:textAlignment w:val="center"/>
    </w:pPr>
    <w:rPr>
      <w:rFonts w:ascii="Mulish" w:hAnsi="Mulish" w:cs="Mulish"/>
      <w:color w:val="575756"/>
      <w:sz w:val="20"/>
      <w:szCs w:val="20"/>
    </w:rPr>
  </w:style>
  <w:style w:type="paragraph" w:customStyle="1" w:styleId="hlavickaadresaSZ">
    <w:name w:val="hlavicka_adresa_SZÚ"/>
    <w:basedOn w:val="Zkladnodstavec"/>
    <w:link w:val="hlavickaadresaSZChar"/>
    <w:rsid w:val="00380C5D"/>
    <w:pPr>
      <w:jc w:val="right"/>
    </w:pPr>
    <w:rPr>
      <w:rFonts w:ascii="Mulish" w:hAnsi="Mulish"/>
      <w:color w:val="005984"/>
      <w:sz w:val="16"/>
      <w:szCs w:val="16"/>
    </w:rPr>
  </w:style>
  <w:style w:type="character" w:customStyle="1" w:styleId="hlavickaadresaSZChar">
    <w:name w:val="hlavicka_adresa_SZÚ Char"/>
    <w:basedOn w:val="ZkladnodstavecChar"/>
    <w:link w:val="hlavickaadresaSZ"/>
    <w:rsid w:val="00380C5D"/>
    <w:rPr>
      <w:rFonts w:ascii="Mulish" w:hAnsi="Mulish" w:cs="Minion Pro"/>
      <w:color w:val="005984"/>
      <w:sz w:val="16"/>
      <w:szCs w:val="16"/>
    </w:rPr>
  </w:style>
  <w:style w:type="paragraph" w:customStyle="1" w:styleId="zapatitext">
    <w:name w:val="zapati_text"/>
    <w:basedOn w:val="Zkladnodstavec"/>
    <w:link w:val="zapatitextChar"/>
    <w:qFormat/>
    <w:rsid w:val="00210972"/>
    <w:pPr>
      <w:jc w:val="center"/>
    </w:pPr>
    <w:rPr>
      <w:rFonts w:ascii="Mulish" w:hAnsi="Mulish"/>
      <w:color w:val="575756"/>
      <w:sz w:val="16"/>
      <w:szCs w:val="16"/>
    </w:rPr>
  </w:style>
  <w:style w:type="character" w:customStyle="1" w:styleId="zapatitextChar">
    <w:name w:val="zapati_text Char"/>
    <w:basedOn w:val="ZkladnodstavecChar"/>
    <w:link w:val="zapatitext"/>
    <w:rsid w:val="00210972"/>
    <w:rPr>
      <w:rFonts w:ascii="Mulish" w:hAnsi="Mulish" w:cs="Minion Pro"/>
      <w:color w:val="575756"/>
      <w:sz w:val="16"/>
      <w:szCs w:val="16"/>
    </w:rPr>
  </w:style>
  <w:style w:type="paragraph" w:customStyle="1" w:styleId="zapatibold">
    <w:name w:val="zapati_bold"/>
    <w:basedOn w:val="Zkladnodstavec"/>
    <w:link w:val="zapatiboldChar"/>
    <w:qFormat/>
    <w:rsid w:val="00380C5D"/>
    <w:pPr>
      <w:jc w:val="center"/>
    </w:pPr>
    <w:rPr>
      <w:rFonts w:ascii="Mulish" w:hAnsi="Mulish"/>
      <w:b/>
      <w:bCs/>
      <w:color w:val="005984"/>
      <w:sz w:val="16"/>
      <w:szCs w:val="16"/>
    </w:rPr>
  </w:style>
  <w:style w:type="character" w:customStyle="1" w:styleId="zapatiboldChar">
    <w:name w:val="zapati_bold Char"/>
    <w:basedOn w:val="ZkladnodstavecChar"/>
    <w:link w:val="zapatibold"/>
    <w:rsid w:val="00380C5D"/>
    <w:rPr>
      <w:rFonts w:ascii="Mulish" w:hAnsi="Mulish" w:cs="Minion Pro"/>
      <w:b/>
      <w:bCs/>
      <w:color w:val="005984"/>
      <w:sz w:val="16"/>
      <w:szCs w:val="16"/>
    </w:rPr>
  </w:style>
  <w:style w:type="paragraph" w:customStyle="1" w:styleId="normalnibold">
    <w:name w:val="normalni bold"/>
    <w:basedOn w:val="textSZ"/>
    <w:link w:val="normalniboldChar"/>
    <w:qFormat/>
    <w:rsid w:val="009C38D4"/>
    <w:rPr>
      <w:b/>
      <w:bCs/>
      <w:color w:val="005984"/>
    </w:rPr>
  </w:style>
  <w:style w:type="character" w:customStyle="1" w:styleId="normalniboldChar">
    <w:name w:val="normalni bold Char"/>
    <w:basedOn w:val="textSZChar"/>
    <w:link w:val="normalnibold"/>
    <w:rsid w:val="009C38D4"/>
    <w:rPr>
      <w:rFonts w:ascii="Mulish" w:hAnsi="Mulish" w:cs="Mulish"/>
      <w:b/>
      <w:bCs/>
      <w:color w:val="005984"/>
      <w:sz w:val="20"/>
      <w:szCs w:val="20"/>
    </w:rPr>
  </w:style>
  <w:style w:type="paragraph" w:customStyle="1" w:styleId="normalnivyznacovaci">
    <w:name w:val="normalni_vyznacovaci"/>
    <w:basedOn w:val="Normln"/>
    <w:link w:val="normalnivyznacovaciChar"/>
    <w:qFormat/>
    <w:rsid w:val="009E26E1"/>
    <w:rPr>
      <w:i/>
      <w:iCs/>
    </w:rPr>
  </w:style>
  <w:style w:type="character" w:customStyle="1" w:styleId="normalnivyznacovaciChar">
    <w:name w:val="normalni_vyznacovaci Char"/>
    <w:basedOn w:val="Standardnpsmoodstavce"/>
    <w:link w:val="normalnivyznacovaci"/>
    <w:rsid w:val="009E26E1"/>
    <w:rPr>
      <w:rFonts w:ascii="Mulish" w:hAnsi="Mulish" w:cs="Mulish"/>
      <w:i/>
      <w:iCs/>
      <w:color w:val="000000" w:themeColor="text1"/>
      <w:sz w:val="20"/>
      <w:szCs w:val="20"/>
    </w:rPr>
  </w:style>
  <w:style w:type="character" w:styleId="Hypertextovodkaz">
    <w:name w:val="Hyperlink"/>
    <w:basedOn w:val="Standardnpsmoodstavce"/>
    <w:unhideWhenUsed/>
    <w:rsid w:val="009F2B5E"/>
    <w:rPr>
      <w:color w:val="0563C1" w:themeColor="hyperlink"/>
      <w:u w:val="single"/>
    </w:rPr>
  </w:style>
  <w:style w:type="character" w:customStyle="1" w:styleId="UnresolvedMention">
    <w:name w:val="Unresolved Mention"/>
    <w:basedOn w:val="Standardnpsmoodstavce"/>
    <w:uiPriority w:val="99"/>
    <w:semiHidden/>
    <w:unhideWhenUsed/>
    <w:rsid w:val="009F2B5E"/>
    <w:rPr>
      <w:color w:val="605E5C"/>
      <w:shd w:val="clear" w:color="auto" w:fill="E1DFDD"/>
    </w:rPr>
  </w:style>
  <w:style w:type="paragraph" w:styleId="Nzev">
    <w:name w:val="Title"/>
    <w:basedOn w:val="Normln"/>
    <w:next w:val="Normln"/>
    <w:link w:val="NzevChar"/>
    <w:qFormat/>
    <w:rsid w:val="009E26E1"/>
    <w:pPr>
      <w:spacing w:line="240" w:lineRule="auto"/>
      <w:contextualSpacing/>
    </w:pPr>
    <w:rPr>
      <w:rFonts w:eastAsiaTheme="majorEastAsia" w:cstheme="majorBidi"/>
      <w:color w:val="auto"/>
      <w:spacing w:val="-10"/>
      <w:kern w:val="28"/>
      <w:sz w:val="56"/>
      <w:szCs w:val="56"/>
    </w:rPr>
  </w:style>
  <w:style w:type="character" w:customStyle="1" w:styleId="NzevChar">
    <w:name w:val="Název Char"/>
    <w:basedOn w:val="Standardnpsmoodstavce"/>
    <w:link w:val="Nzev"/>
    <w:rsid w:val="009E26E1"/>
    <w:rPr>
      <w:rFonts w:ascii="Mulish" w:eastAsiaTheme="majorEastAsia" w:hAnsi="Mulish" w:cstheme="majorBidi"/>
      <w:spacing w:val="-10"/>
      <w:kern w:val="28"/>
      <w:sz w:val="56"/>
      <w:szCs w:val="56"/>
    </w:rPr>
  </w:style>
  <w:style w:type="paragraph" w:styleId="Podnadpis">
    <w:name w:val="Subtitle"/>
    <w:basedOn w:val="Normln"/>
    <w:next w:val="Normln"/>
    <w:link w:val="PodnadpisChar"/>
    <w:qFormat/>
    <w:rsid w:val="009E26E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9E26E1"/>
    <w:rPr>
      <w:rFonts w:eastAsiaTheme="minorEastAsia"/>
      <w:color w:val="5A5A5A" w:themeColor="text1" w:themeTint="A5"/>
      <w:spacing w:val="15"/>
    </w:rPr>
  </w:style>
  <w:style w:type="character" w:styleId="Zdraznnjemn">
    <w:name w:val="Subtle Emphasis"/>
    <w:basedOn w:val="Standardnpsmoodstavce"/>
    <w:uiPriority w:val="19"/>
    <w:rsid w:val="009E26E1"/>
    <w:rPr>
      <w:i/>
      <w:iCs/>
      <w:color w:val="404040" w:themeColor="text1" w:themeTint="BF"/>
    </w:rPr>
  </w:style>
  <w:style w:type="character" w:styleId="Zdraznn">
    <w:name w:val="Emphasis"/>
    <w:basedOn w:val="Standardnpsmoodstavce"/>
    <w:uiPriority w:val="20"/>
    <w:rsid w:val="009E26E1"/>
    <w:rPr>
      <w:i/>
      <w:iCs/>
    </w:rPr>
  </w:style>
  <w:style w:type="character" w:styleId="Zdraznnintenzivn">
    <w:name w:val="Intense Emphasis"/>
    <w:basedOn w:val="Standardnpsmoodstavce"/>
    <w:uiPriority w:val="21"/>
    <w:rsid w:val="009E26E1"/>
    <w:rPr>
      <w:i/>
      <w:iCs/>
      <w:color w:val="4472C4" w:themeColor="accent1"/>
    </w:rPr>
  </w:style>
  <w:style w:type="character" w:styleId="Siln">
    <w:name w:val="Strong"/>
    <w:basedOn w:val="Standardnpsmoodstavce"/>
    <w:qFormat/>
    <w:rsid w:val="009E26E1"/>
    <w:rPr>
      <w:b/>
      <w:bCs/>
    </w:rPr>
  </w:style>
  <w:style w:type="paragraph" w:styleId="Citt">
    <w:name w:val="Quote"/>
    <w:basedOn w:val="Normln"/>
    <w:next w:val="Normln"/>
    <w:link w:val="CittChar"/>
    <w:uiPriority w:val="29"/>
    <w:qFormat/>
    <w:rsid w:val="009E26E1"/>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9E26E1"/>
    <w:rPr>
      <w:rFonts w:ascii="Mulish" w:hAnsi="Mulish" w:cs="Mulish"/>
      <w:i/>
      <w:iCs/>
      <w:color w:val="404040" w:themeColor="text1" w:themeTint="BF"/>
      <w:sz w:val="20"/>
      <w:szCs w:val="20"/>
    </w:rPr>
  </w:style>
  <w:style w:type="paragraph" w:customStyle="1" w:styleId="PodpisSZ">
    <w:name w:val="Podpis SZÚ"/>
    <w:basedOn w:val="Normln"/>
    <w:qFormat/>
    <w:rsid w:val="00A80455"/>
    <w:pPr>
      <w:jc w:val="right"/>
    </w:pPr>
    <w:rPr>
      <w:b/>
      <w:bCs/>
      <w:color w:val="005984"/>
    </w:rPr>
  </w:style>
  <w:style w:type="paragraph" w:customStyle="1" w:styleId="Podpisfunkce">
    <w:name w:val="Podpis funkce"/>
    <w:basedOn w:val="Normln"/>
    <w:qFormat/>
    <w:rsid w:val="00A80455"/>
    <w:pPr>
      <w:jc w:val="right"/>
    </w:pPr>
    <w:rPr>
      <w:sz w:val="16"/>
      <w:szCs w:val="16"/>
    </w:rPr>
  </w:style>
  <w:style w:type="character" w:styleId="Sledovanodkaz">
    <w:name w:val="FollowedHyperlink"/>
    <w:basedOn w:val="Standardnpsmoodstavce"/>
    <w:unhideWhenUsed/>
    <w:rsid w:val="006943CA"/>
    <w:rPr>
      <w:color w:val="954F72" w:themeColor="followedHyperlink"/>
      <w:u w:val="single"/>
    </w:rPr>
  </w:style>
  <w:style w:type="character" w:customStyle="1" w:styleId="Nadpis2Char1">
    <w:name w:val="Nadpis 2 Char1"/>
    <w:aliases w:val="Nadpis 2 Char1 Char Char"/>
    <w:rsid w:val="00830024"/>
    <w:rPr>
      <w:rFonts w:ascii="Book Antiqua" w:hAnsi="Book Antiqua"/>
      <w:b/>
      <w:noProof/>
      <w:sz w:val="18"/>
      <w14:shadow w14:blurRad="50800" w14:dist="38100" w14:dir="2700000" w14:sx="100000" w14:sy="100000" w14:kx="0" w14:ky="0" w14:algn="tl">
        <w14:srgbClr w14:val="000000">
          <w14:alpha w14:val="60000"/>
        </w14:srgbClr>
      </w14:shadow>
    </w:rPr>
  </w:style>
  <w:style w:type="paragraph" w:styleId="Zkladntext">
    <w:name w:val="Body Text"/>
    <w:basedOn w:val="Normln"/>
    <w:link w:val="ZkladntextChar"/>
    <w:rsid w:val="00830024"/>
    <w:pPr>
      <w:autoSpaceDE/>
      <w:autoSpaceDN/>
      <w:adjustRightInd/>
      <w:spacing w:line="240" w:lineRule="auto"/>
      <w:textAlignment w:val="auto"/>
    </w:pPr>
    <w:rPr>
      <w:rFonts w:ascii="MS Serif" w:eastAsia="Times New Roman" w:hAnsi="MS Serif" w:cs="Times New Roman"/>
      <w:noProof/>
      <w:color w:val="auto"/>
      <w:lang w:eastAsia="cs-CZ"/>
      <w14:shadow w14:blurRad="50800" w14:dist="38100" w14:dir="2700000" w14:sx="100000" w14:sy="100000" w14:kx="0" w14:ky="0" w14:algn="tl">
        <w14:srgbClr w14:val="000000">
          <w14:alpha w14:val="60000"/>
        </w14:srgbClr>
      </w14:shadow>
    </w:rPr>
  </w:style>
  <w:style w:type="character" w:customStyle="1" w:styleId="ZkladntextChar">
    <w:name w:val="Základní text Char"/>
    <w:basedOn w:val="Standardnpsmoodstavce"/>
    <w:link w:val="Zkladntext"/>
    <w:rsid w:val="00830024"/>
    <w:rPr>
      <w:rFonts w:ascii="MS Serif" w:eastAsia="Times New Roman" w:hAnsi="MS Serif" w:cs="Times New Roman"/>
      <w:noProof/>
      <w:sz w:val="20"/>
      <w:szCs w:val="20"/>
      <w:lang w:eastAsia="cs-CZ"/>
      <w14:shadow w14:blurRad="50800" w14:dist="38100" w14:dir="2700000" w14:sx="100000" w14:sy="100000" w14:kx="0" w14:ky="0" w14:algn="tl">
        <w14:srgbClr w14:val="000000">
          <w14:alpha w14:val="60000"/>
        </w14:srgbClr>
      </w14:shadow>
    </w:rPr>
  </w:style>
  <w:style w:type="paragraph" w:styleId="Titulek">
    <w:name w:val="caption"/>
    <w:basedOn w:val="Normln"/>
    <w:next w:val="Normln"/>
    <w:qFormat/>
    <w:rsid w:val="00830024"/>
    <w:pPr>
      <w:autoSpaceDE/>
      <w:autoSpaceDN/>
      <w:adjustRightInd/>
      <w:spacing w:line="240" w:lineRule="auto"/>
      <w:jc w:val="both"/>
      <w:textAlignment w:val="auto"/>
    </w:pPr>
    <w:rPr>
      <w:rFonts w:ascii="Book Antiqua" w:eastAsia="Times New Roman" w:hAnsi="Book Antiqua" w:cs="Times New Roman"/>
      <w:snapToGrid w:val="0"/>
      <w:color w:val="0000FF"/>
      <w:sz w:val="24"/>
      <w:lang w:eastAsia="cs-CZ"/>
    </w:rPr>
  </w:style>
  <w:style w:type="paragraph" w:styleId="Normlnweb">
    <w:name w:val="Normal (Web)"/>
    <w:aliases w:val="Normální (síť WWW) Char Char Char,Normální (síť WWW) Char Char,Normální (síť WWW)"/>
    <w:basedOn w:val="Normln"/>
    <w:link w:val="NormlnwebChar"/>
    <w:rsid w:val="00830024"/>
    <w:pPr>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cs-CZ"/>
    </w:rPr>
  </w:style>
  <w:style w:type="character" w:customStyle="1" w:styleId="NormlnwebChar">
    <w:name w:val="Normální (web) Char"/>
    <w:aliases w:val="Normální (síť WWW) Char Char Char Char,Normální (síť WWW) Char Char Char1,Normální (síť WWW) Char1"/>
    <w:link w:val="Normlnweb"/>
    <w:rsid w:val="00830024"/>
    <w:rPr>
      <w:rFonts w:ascii="Times New Roman" w:eastAsia="Times New Roman" w:hAnsi="Times New Roman" w:cs="Times New Roman"/>
      <w:sz w:val="24"/>
      <w:szCs w:val="24"/>
      <w:lang w:eastAsia="cs-CZ"/>
    </w:rPr>
  </w:style>
  <w:style w:type="table" w:styleId="Mkatabulky">
    <w:name w:val="Table Grid"/>
    <w:basedOn w:val="Normlntabulka"/>
    <w:uiPriority w:val="39"/>
    <w:rsid w:val="0083002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a">
    <w:name w:val="Znaèka"/>
    <w:basedOn w:val="Normln"/>
    <w:rsid w:val="00830024"/>
    <w:pPr>
      <w:tabs>
        <w:tab w:val="left" w:pos="288"/>
      </w:tabs>
      <w:overflowPunct w:val="0"/>
      <w:spacing w:line="240" w:lineRule="auto"/>
      <w:ind w:left="288" w:hanging="288"/>
      <w:textAlignment w:val="baseline"/>
    </w:pPr>
    <w:rPr>
      <w:rFonts w:ascii="Times New Roman" w:eastAsia="Times New Roman" w:hAnsi="Times New Roman" w:cs="Times New Roman"/>
      <w:color w:val="auto"/>
      <w:sz w:val="24"/>
      <w:szCs w:val="24"/>
      <w:lang w:eastAsia="cs-CZ"/>
    </w:rPr>
  </w:style>
  <w:style w:type="paragraph" w:customStyle="1" w:styleId="DefaultText1">
    <w:name w:val="Default Text:1"/>
    <w:basedOn w:val="Normln"/>
    <w:rsid w:val="00830024"/>
    <w:pPr>
      <w:overflowPunct w:val="0"/>
      <w:spacing w:line="240" w:lineRule="auto"/>
      <w:textAlignment w:val="baseline"/>
    </w:pPr>
    <w:rPr>
      <w:rFonts w:ascii="Times New Roman" w:eastAsia="Times New Roman" w:hAnsi="Times New Roman" w:cs="Times New Roman"/>
      <w:color w:val="auto"/>
      <w:sz w:val="24"/>
      <w:szCs w:val="24"/>
      <w:lang w:eastAsia="cs-CZ"/>
    </w:rPr>
  </w:style>
  <w:style w:type="paragraph" w:customStyle="1" w:styleId="DefaultText">
    <w:name w:val="Default Text"/>
    <w:basedOn w:val="Normln"/>
    <w:rsid w:val="00830024"/>
    <w:pPr>
      <w:autoSpaceDE/>
      <w:autoSpaceDN/>
      <w:adjustRightInd/>
      <w:spacing w:line="240" w:lineRule="auto"/>
      <w:textAlignment w:val="auto"/>
    </w:pPr>
    <w:rPr>
      <w:rFonts w:ascii="Times New Roman" w:eastAsia="Times New Roman" w:hAnsi="Times New Roman" w:cs="Times New Roman"/>
      <w:snapToGrid w:val="0"/>
      <w:color w:val="auto"/>
      <w:sz w:val="24"/>
      <w:lang w:val="en-US" w:eastAsia="cs-CZ"/>
    </w:rPr>
  </w:style>
  <w:style w:type="paragraph" w:customStyle="1" w:styleId="Znaka1">
    <w:name w:val="Značka 1"/>
    <w:basedOn w:val="Normln"/>
    <w:rsid w:val="00830024"/>
    <w:pPr>
      <w:autoSpaceDE/>
      <w:autoSpaceDN/>
      <w:adjustRightInd/>
      <w:spacing w:line="240" w:lineRule="auto"/>
      <w:textAlignment w:val="auto"/>
    </w:pPr>
    <w:rPr>
      <w:rFonts w:ascii="MS Serif" w:eastAsia="Times New Roman" w:hAnsi="MS Serif" w:cs="Times New Roman"/>
      <w:noProof/>
      <w:color w:val="auto"/>
      <w:lang w:eastAsia="cs-CZ"/>
      <w14:shadow w14:blurRad="50800" w14:dist="38100" w14:dir="2700000" w14:sx="100000" w14:sy="100000" w14:kx="0" w14:ky="0" w14:algn="tl">
        <w14:srgbClr w14:val="000000">
          <w14:alpha w14:val="60000"/>
        </w14:srgbClr>
      </w14:shadow>
    </w:rPr>
  </w:style>
  <w:style w:type="paragraph" w:customStyle="1" w:styleId="Texttabulky">
    <w:name w:val="Text tabulky"/>
    <w:basedOn w:val="Normln"/>
    <w:rsid w:val="00830024"/>
    <w:pPr>
      <w:autoSpaceDE/>
      <w:autoSpaceDN/>
      <w:adjustRightInd/>
      <w:spacing w:line="240" w:lineRule="auto"/>
      <w:textAlignment w:val="auto"/>
    </w:pPr>
    <w:rPr>
      <w:rFonts w:ascii="MS Serif" w:eastAsia="Times New Roman" w:hAnsi="MS Serif" w:cs="Times New Roman"/>
      <w:noProof/>
      <w:color w:val="auto"/>
      <w:lang w:eastAsia="cs-CZ"/>
      <w14:shadow w14:blurRad="50800" w14:dist="38100" w14:dir="2700000" w14:sx="100000" w14:sy="100000" w14:kx="0" w14:ky="0" w14:algn="tl">
        <w14:srgbClr w14:val="000000">
          <w14:alpha w14:val="60000"/>
        </w14:srgbClr>
      </w14:shadow>
    </w:rPr>
  </w:style>
  <w:style w:type="paragraph" w:styleId="Zkladntext2">
    <w:name w:val="Body Text 2"/>
    <w:basedOn w:val="Normln"/>
    <w:link w:val="Zkladntext2Char"/>
    <w:rsid w:val="00830024"/>
    <w:pPr>
      <w:autoSpaceDE/>
      <w:autoSpaceDN/>
      <w:adjustRightInd/>
      <w:spacing w:line="240" w:lineRule="atLeast"/>
      <w:jc w:val="both"/>
      <w:textAlignment w:val="auto"/>
    </w:pPr>
    <w:rPr>
      <w:rFonts w:ascii="Book Antiqua" w:eastAsia="Times New Roman" w:hAnsi="Book Antiqua" w:cs="Times New Roman"/>
      <w:noProof/>
      <w:color w:val="000000"/>
      <w:sz w:val="24"/>
      <w:lang w:eastAsia="cs-CZ"/>
      <w14:shadow w14:blurRad="50800" w14:dist="38100" w14:dir="2700000" w14:sx="100000" w14:sy="100000" w14:kx="0" w14:ky="0" w14:algn="tl">
        <w14:srgbClr w14:val="000000">
          <w14:alpha w14:val="60000"/>
        </w14:srgbClr>
      </w14:shadow>
    </w:rPr>
  </w:style>
  <w:style w:type="character" w:customStyle="1" w:styleId="Zkladntext2Char">
    <w:name w:val="Základní text 2 Char"/>
    <w:basedOn w:val="Standardnpsmoodstavce"/>
    <w:link w:val="Zkladntext2"/>
    <w:rsid w:val="00830024"/>
    <w:rPr>
      <w:rFonts w:ascii="Book Antiqua" w:eastAsia="Times New Roman" w:hAnsi="Book Antiqua" w:cs="Times New Roman"/>
      <w:noProof/>
      <w:color w:val="000000"/>
      <w:sz w:val="24"/>
      <w:szCs w:val="20"/>
      <w:lang w:eastAsia="cs-CZ"/>
      <w14:shadow w14:blurRad="50800" w14:dist="38100" w14:dir="2700000" w14:sx="100000" w14:sy="100000" w14:kx="0" w14:ky="0" w14:algn="tl">
        <w14:srgbClr w14:val="000000">
          <w14:alpha w14:val="60000"/>
        </w14:srgbClr>
      </w14:shadow>
    </w:rPr>
  </w:style>
  <w:style w:type="paragraph" w:styleId="Zkladntextodsazen">
    <w:name w:val="Body Text Indent"/>
    <w:basedOn w:val="Normln"/>
    <w:link w:val="ZkladntextodsazenChar"/>
    <w:rsid w:val="00830024"/>
    <w:pPr>
      <w:autoSpaceDE/>
      <w:autoSpaceDN/>
      <w:adjustRightInd/>
      <w:spacing w:line="240" w:lineRule="atLeast"/>
      <w:ind w:left="283" w:firstLine="567"/>
      <w:jc w:val="both"/>
      <w:textAlignment w:val="auto"/>
    </w:pPr>
    <w:rPr>
      <w:rFonts w:ascii="Book Antiqua" w:eastAsia="Times New Roman" w:hAnsi="Book Antiqua" w:cs="Times New Roman"/>
      <w:noProof/>
      <w:color w:val="000000"/>
      <w:sz w:val="24"/>
      <w:lang w:eastAsia="cs-CZ"/>
      <w14:shadow w14:blurRad="50800" w14:dist="38100" w14:dir="2700000" w14:sx="100000" w14:sy="100000" w14:kx="0" w14:ky="0" w14:algn="tl">
        <w14:srgbClr w14:val="000000">
          <w14:alpha w14:val="60000"/>
        </w14:srgbClr>
      </w14:shadow>
    </w:rPr>
  </w:style>
  <w:style w:type="character" w:customStyle="1" w:styleId="ZkladntextodsazenChar">
    <w:name w:val="Základní text odsazený Char"/>
    <w:basedOn w:val="Standardnpsmoodstavce"/>
    <w:link w:val="Zkladntextodsazen"/>
    <w:rsid w:val="00830024"/>
    <w:rPr>
      <w:rFonts w:ascii="Book Antiqua" w:eastAsia="Times New Roman" w:hAnsi="Book Antiqua" w:cs="Times New Roman"/>
      <w:noProof/>
      <w:color w:val="000000"/>
      <w:sz w:val="24"/>
      <w:szCs w:val="20"/>
      <w:lang w:eastAsia="cs-CZ"/>
      <w14:shadow w14:blurRad="50800" w14:dist="38100" w14:dir="2700000" w14:sx="100000" w14:sy="100000" w14:kx="0" w14:ky="0" w14:algn="tl">
        <w14:srgbClr w14:val="000000">
          <w14:alpha w14:val="60000"/>
        </w14:srgbClr>
      </w14:shadow>
    </w:rPr>
  </w:style>
  <w:style w:type="paragraph" w:styleId="Zkladntext3">
    <w:name w:val="Body Text 3"/>
    <w:basedOn w:val="Normln"/>
    <w:link w:val="Zkladntext3Char"/>
    <w:rsid w:val="00830024"/>
    <w:pPr>
      <w:autoSpaceDE/>
      <w:autoSpaceDN/>
      <w:adjustRightInd/>
      <w:spacing w:line="240" w:lineRule="atLeast"/>
      <w:jc w:val="both"/>
      <w:textAlignment w:val="auto"/>
    </w:pPr>
    <w:rPr>
      <w:rFonts w:ascii="Book Antiqua" w:eastAsia="Times New Roman" w:hAnsi="Book Antiqua" w:cs="Times New Roman"/>
      <w:i/>
      <w:noProof/>
      <w:color w:val="000000"/>
      <w:sz w:val="24"/>
      <w:lang w:eastAsia="cs-CZ"/>
      <w14:shadow w14:blurRad="50800" w14:dist="38100" w14:dir="2700000" w14:sx="100000" w14:sy="100000" w14:kx="0" w14:ky="0" w14:algn="tl">
        <w14:srgbClr w14:val="000000">
          <w14:alpha w14:val="60000"/>
        </w14:srgbClr>
      </w14:shadow>
    </w:rPr>
  </w:style>
  <w:style w:type="character" w:customStyle="1" w:styleId="Zkladntext3Char">
    <w:name w:val="Základní text 3 Char"/>
    <w:basedOn w:val="Standardnpsmoodstavce"/>
    <w:link w:val="Zkladntext3"/>
    <w:rsid w:val="00830024"/>
    <w:rPr>
      <w:rFonts w:ascii="Book Antiqua" w:eastAsia="Times New Roman" w:hAnsi="Book Antiqua" w:cs="Times New Roman"/>
      <w:i/>
      <w:noProof/>
      <w:color w:val="000000"/>
      <w:sz w:val="24"/>
      <w:szCs w:val="20"/>
      <w:lang w:eastAsia="cs-CZ"/>
      <w14:shadow w14:blurRad="50800" w14:dist="38100" w14:dir="2700000" w14:sx="100000" w14:sy="100000" w14:kx="0" w14:ky="0" w14:algn="tl">
        <w14:srgbClr w14:val="000000">
          <w14:alpha w14:val="60000"/>
        </w14:srgbClr>
      </w14:shadow>
    </w:rPr>
  </w:style>
  <w:style w:type="paragraph" w:styleId="Zkladntextodsazen2">
    <w:name w:val="Body Text Indent 2"/>
    <w:basedOn w:val="Normln"/>
    <w:link w:val="Zkladntextodsazen2Char"/>
    <w:rsid w:val="00830024"/>
    <w:pPr>
      <w:autoSpaceDE/>
      <w:autoSpaceDN/>
      <w:adjustRightInd/>
      <w:spacing w:line="240" w:lineRule="atLeast"/>
      <w:ind w:left="566"/>
      <w:jc w:val="both"/>
      <w:textAlignment w:val="auto"/>
    </w:pPr>
    <w:rPr>
      <w:rFonts w:ascii="Book Antiqua" w:eastAsia="Times New Roman" w:hAnsi="Book Antiqua" w:cs="Times New Roman"/>
      <w:noProof/>
      <w:color w:val="auto"/>
      <w:sz w:val="24"/>
      <w:lang w:eastAsia="cs-CZ"/>
    </w:rPr>
  </w:style>
  <w:style w:type="character" w:customStyle="1" w:styleId="Zkladntextodsazen2Char">
    <w:name w:val="Základní text odsazený 2 Char"/>
    <w:basedOn w:val="Standardnpsmoodstavce"/>
    <w:link w:val="Zkladntextodsazen2"/>
    <w:rsid w:val="00830024"/>
    <w:rPr>
      <w:rFonts w:ascii="Book Antiqua" w:eastAsia="Times New Roman" w:hAnsi="Book Antiqua" w:cs="Times New Roman"/>
      <w:noProof/>
      <w:sz w:val="24"/>
      <w:szCs w:val="20"/>
      <w:lang w:eastAsia="cs-CZ"/>
    </w:rPr>
  </w:style>
  <w:style w:type="paragraph" w:customStyle="1" w:styleId="Standardnte">
    <w:name w:val="Standardní te"/>
    <w:rsid w:val="00830024"/>
    <w:pPr>
      <w:spacing w:after="0" w:line="240" w:lineRule="auto"/>
    </w:pPr>
    <w:rPr>
      <w:rFonts w:ascii="Times New Roman" w:eastAsia="Times New Roman" w:hAnsi="Times New Roman" w:cs="Times New Roman"/>
      <w:snapToGrid w:val="0"/>
      <w:color w:val="000000"/>
      <w:sz w:val="24"/>
      <w:szCs w:val="20"/>
      <w:lang w:eastAsia="cs-CZ"/>
    </w:rPr>
  </w:style>
  <w:style w:type="paragraph" w:customStyle="1" w:styleId="Standardntext">
    <w:name w:val="Standardní text"/>
    <w:basedOn w:val="Normln"/>
    <w:rsid w:val="00830024"/>
    <w:pPr>
      <w:autoSpaceDE/>
      <w:autoSpaceDN/>
      <w:adjustRightInd/>
      <w:spacing w:line="240" w:lineRule="auto"/>
      <w:textAlignment w:val="auto"/>
    </w:pPr>
    <w:rPr>
      <w:rFonts w:ascii="Times New Roman" w:eastAsia="Times New Roman" w:hAnsi="Times New Roman" w:cs="Times New Roman"/>
      <w:color w:val="auto"/>
      <w:sz w:val="24"/>
      <w:lang w:eastAsia="cs-CZ"/>
    </w:rPr>
  </w:style>
  <w:style w:type="paragraph" w:customStyle="1" w:styleId="Zkladntext21">
    <w:name w:val="Základní text 21"/>
    <w:basedOn w:val="Normln"/>
    <w:rsid w:val="00830024"/>
    <w:pPr>
      <w:autoSpaceDE/>
      <w:autoSpaceDN/>
      <w:adjustRightInd/>
      <w:spacing w:line="240" w:lineRule="auto"/>
      <w:textAlignment w:val="auto"/>
    </w:pPr>
    <w:rPr>
      <w:rFonts w:ascii="Times New Roman" w:eastAsia="Times New Roman" w:hAnsi="Times New Roman" w:cs="Times New Roman"/>
      <w:color w:val="auto"/>
      <w:sz w:val="24"/>
      <w:lang w:eastAsia="cs-CZ"/>
    </w:rPr>
  </w:style>
  <w:style w:type="paragraph" w:customStyle="1" w:styleId="Znaka0">
    <w:name w:val="Značka"/>
    <w:rsid w:val="00830024"/>
    <w:pPr>
      <w:widowControl w:val="0"/>
      <w:spacing w:after="0" w:line="240" w:lineRule="auto"/>
      <w:ind w:left="288"/>
    </w:pPr>
    <w:rPr>
      <w:rFonts w:ascii="Times New Roman" w:eastAsia="Times New Roman" w:hAnsi="Times New Roman" w:cs="Times New Roman"/>
      <w:snapToGrid w:val="0"/>
      <w:color w:val="000000"/>
      <w:sz w:val="24"/>
      <w:szCs w:val="20"/>
      <w:lang w:eastAsia="cs-CZ"/>
    </w:rPr>
  </w:style>
  <w:style w:type="paragraph" w:styleId="Textvbloku">
    <w:name w:val="Block Text"/>
    <w:basedOn w:val="Normln"/>
    <w:rsid w:val="00830024"/>
    <w:pPr>
      <w:autoSpaceDE/>
      <w:autoSpaceDN/>
      <w:adjustRightInd/>
      <w:spacing w:line="240" w:lineRule="auto"/>
      <w:ind w:left="-284" w:right="-567"/>
      <w:jc w:val="both"/>
      <w:textAlignment w:val="auto"/>
    </w:pPr>
    <w:rPr>
      <w:rFonts w:ascii="Book Antiqua" w:eastAsia="Times New Roman" w:hAnsi="Book Antiqua" w:cs="Times New Roman"/>
      <w:noProof/>
      <w:color w:val="auto"/>
      <w:sz w:val="24"/>
      <w:lang w:eastAsia="cs-CZ"/>
    </w:rPr>
  </w:style>
  <w:style w:type="paragraph" w:styleId="Zkladntextodsazen3">
    <w:name w:val="Body Text Indent 3"/>
    <w:basedOn w:val="Normln"/>
    <w:link w:val="Zkladntextodsazen3Char"/>
    <w:rsid w:val="00830024"/>
    <w:pPr>
      <w:numPr>
        <w:ilvl w:val="12"/>
      </w:numPr>
      <w:autoSpaceDE/>
      <w:autoSpaceDN/>
      <w:adjustRightInd/>
      <w:spacing w:line="240" w:lineRule="auto"/>
      <w:ind w:left="360"/>
      <w:jc w:val="both"/>
      <w:textAlignment w:val="auto"/>
    </w:pPr>
    <w:rPr>
      <w:rFonts w:ascii="Book Antiqua" w:eastAsia="Times New Roman" w:hAnsi="Book Antiqua" w:cs="Times New Roman"/>
      <w:noProof/>
      <w:color w:val="auto"/>
      <w:sz w:val="24"/>
      <w:lang w:eastAsia="cs-CZ"/>
    </w:rPr>
  </w:style>
  <w:style w:type="character" w:customStyle="1" w:styleId="Zkladntextodsazen3Char">
    <w:name w:val="Základní text odsazený 3 Char"/>
    <w:basedOn w:val="Standardnpsmoodstavce"/>
    <w:link w:val="Zkladntextodsazen3"/>
    <w:rsid w:val="00830024"/>
    <w:rPr>
      <w:rFonts w:ascii="Book Antiqua" w:eastAsia="Times New Roman" w:hAnsi="Book Antiqua" w:cs="Times New Roman"/>
      <w:noProof/>
      <w:sz w:val="24"/>
      <w:szCs w:val="20"/>
      <w:lang w:eastAsia="cs-CZ"/>
    </w:rPr>
  </w:style>
  <w:style w:type="character" w:styleId="slostrnky">
    <w:name w:val="page number"/>
    <w:basedOn w:val="Standardnpsmoodstavce"/>
    <w:rsid w:val="00830024"/>
  </w:style>
  <w:style w:type="paragraph" w:styleId="Prosttext">
    <w:name w:val="Plain Text"/>
    <w:basedOn w:val="Normln"/>
    <w:link w:val="ProsttextChar"/>
    <w:rsid w:val="00830024"/>
    <w:pPr>
      <w:autoSpaceDE/>
      <w:autoSpaceDN/>
      <w:adjustRightInd/>
      <w:spacing w:line="240" w:lineRule="auto"/>
      <w:textAlignment w:val="auto"/>
    </w:pPr>
    <w:rPr>
      <w:rFonts w:ascii="Courier New" w:eastAsia="Times New Roman" w:hAnsi="Courier New" w:cs="Times New Roman"/>
      <w:color w:val="auto"/>
      <w:lang w:eastAsia="cs-CZ"/>
    </w:rPr>
  </w:style>
  <w:style w:type="character" w:customStyle="1" w:styleId="ProsttextChar">
    <w:name w:val="Prostý text Char"/>
    <w:basedOn w:val="Standardnpsmoodstavce"/>
    <w:link w:val="Prosttext"/>
    <w:rsid w:val="00830024"/>
    <w:rPr>
      <w:rFonts w:ascii="Courier New" w:eastAsia="Times New Roman" w:hAnsi="Courier New" w:cs="Times New Roman"/>
      <w:sz w:val="20"/>
      <w:szCs w:val="20"/>
      <w:lang w:eastAsia="cs-CZ"/>
    </w:rPr>
  </w:style>
  <w:style w:type="paragraph" w:customStyle="1" w:styleId="font5">
    <w:name w:val="font5"/>
    <w:basedOn w:val="Normln"/>
    <w:rsid w:val="00830024"/>
    <w:pPr>
      <w:autoSpaceDE/>
      <w:autoSpaceDN/>
      <w:adjustRightInd/>
      <w:spacing w:before="100" w:beforeAutospacing="1" w:after="100" w:afterAutospacing="1" w:line="240" w:lineRule="auto"/>
      <w:textAlignment w:val="auto"/>
    </w:pPr>
    <w:rPr>
      <w:rFonts w:ascii="Arial" w:eastAsia="Times New Roman" w:hAnsi="Arial" w:cs="Times New Roman"/>
      <w:b/>
      <w:bCs/>
      <w:i/>
      <w:iCs/>
      <w:color w:val="auto"/>
      <w:sz w:val="24"/>
      <w:szCs w:val="24"/>
      <w:lang w:eastAsia="cs-CZ"/>
    </w:rPr>
  </w:style>
  <w:style w:type="paragraph" w:customStyle="1" w:styleId="font6">
    <w:name w:val="font6"/>
    <w:basedOn w:val="Normln"/>
    <w:rsid w:val="00830024"/>
    <w:pPr>
      <w:autoSpaceDE/>
      <w:autoSpaceDN/>
      <w:adjustRightInd/>
      <w:spacing w:before="100" w:beforeAutospacing="1" w:after="100" w:afterAutospacing="1" w:line="240" w:lineRule="auto"/>
      <w:textAlignment w:val="auto"/>
    </w:pPr>
    <w:rPr>
      <w:rFonts w:ascii="Arial" w:eastAsia="Times New Roman" w:hAnsi="Arial" w:cs="Times New Roman"/>
      <w:b/>
      <w:bCs/>
      <w:color w:val="auto"/>
      <w:sz w:val="28"/>
      <w:szCs w:val="28"/>
      <w:lang w:eastAsia="cs-CZ"/>
    </w:rPr>
  </w:style>
  <w:style w:type="paragraph" w:customStyle="1" w:styleId="font7">
    <w:name w:val="font7"/>
    <w:basedOn w:val="Normln"/>
    <w:rsid w:val="00830024"/>
    <w:pPr>
      <w:autoSpaceDE/>
      <w:autoSpaceDN/>
      <w:adjustRightInd/>
      <w:spacing w:before="100" w:beforeAutospacing="1" w:after="100" w:afterAutospacing="1" w:line="240" w:lineRule="auto"/>
      <w:textAlignment w:val="auto"/>
    </w:pPr>
    <w:rPr>
      <w:rFonts w:ascii="Symbol" w:eastAsia="Times New Roman" w:hAnsi="Symbol" w:cs="Times New Roman"/>
      <w:b/>
      <w:bCs/>
      <w:color w:val="auto"/>
      <w:sz w:val="28"/>
      <w:szCs w:val="28"/>
      <w:lang w:eastAsia="cs-CZ"/>
    </w:rPr>
  </w:style>
  <w:style w:type="paragraph" w:customStyle="1" w:styleId="font8">
    <w:name w:val="font8"/>
    <w:basedOn w:val="Normln"/>
    <w:rsid w:val="00830024"/>
    <w:pPr>
      <w:autoSpaceDE/>
      <w:autoSpaceDN/>
      <w:adjustRightInd/>
      <w:spacing w:before="100" w:beforeAutospacing="1" w:after="100" w:afterAutospacing="1" w:line="240" w:lineRule="auto"/>
      <w:textAlignment w:val="auto"/>
    </w:pPr>
    <w:rPr>
      <w:rFonts w:ascii="Arial" w:eastAsia="Times New Roman" w:hAnsi="Arial" w:cs="Times New Roman"/>
      <w:b/>
      <w:bCs/>
      <w:color w:val="auto"/>
      <w:sz w:val="28"/>
      <w:szCs w:val="28"/>
      <w:lang w:eastAsia="cs-CZ"/>
    </w:rPr>
  </w:style>
  <w:style w:type="paragraph" w:customStyle="1" w:styleId="font9">
    <w:name w:val="font9"/>
    <w:basedOn w:val="Normln"/>
    <w:rsid w:val="00830024"/>
    <w:pPr>
      <w:autoSpaceDE/>
      <w:autoSpaceDN/>
      <w:adjustRightInd/>
      <w:spacing w:before="100" w:beforeAutospacing="1" w:after="100" w:afterAutospacing="1" w:line="240" w:lineRule="auto"/>
      <w:textAlignment w:val="auto"/>
    </w:pPr>
    <w:rPr>
      <w:rFonts w:ascii="Arial" w:eastAsia="Times New Roman" w:hAnsi="Arial" w:cs="Times New Roman"/>
      <w:b/>
      <w:bCs/>
      <w:color w:val="auto"/>
      <w:sz w:val="28"/>
      <w:szCs w:val="28"/>
      <w:lang w:eastAsia="cs-CZ"/>
    </w:rPr>
  </w:style>
  <w:style w:type="paragraph" w:customStyle="1" w:styleId="font10">
    <w:name w:val="font10"/>
    <w:basedOn w:val="Normln"/>
    <w:rsid w:val="00830024"/>
    <w:pPr>
      <w:autoSpaceDE/>
      <w:autoSpaceDN/>
      <w:adjustRightInd/>
      <w:spacing w:before="100" w:beforeAutospacing="1" w:after="100" w:afterAutospacing="1" w:line="240" w:lineRule="auto"/>
      <w:textAlignment w:val="auto"/>
    </w:pPr>
    <w:rPr>
      <w:rFonts w:ascii="Arial" w:eastAsia="Times New Roman" w:hAnsi="Arial" w:cs="Times New Roman"/>
      <w:b/>
      <w:bCs/>
      <w:color w:val="auto"/>
      <w:sz w:val="22"/>
      <w:szCs w:val="22"/>
      <w:lang w:eastAsia="cs-CZ"/>
    </w:rPr>
  </w:style>
  <w:style w:type="paragraph" w:customStyle="1" w:styleId="font11">
    <w:name w:val="font11"/>
    <w:basedOn w:val="Normln"/>
    <w:rsid w:val="00830024"/>
    <w:pPr>
      <w:autoSpaceDE/>
      <w:autoSpaceDN/>
      <w:adjustRightInd/>
      <w:spacing w:before="100" w:beforeAutospacing="1" w:after="100" w:afterAutospacing="1" w:line="240" w:lineRule="auto"/>
      <w:textAlignment w:val="auto"/>
    </w:pPr>
    <w:rPr>
      <w:rFonts w:ascii="Arial" w:eastAsia="Times New Roman" w:hAnsi="Arial" w:cs="Times New Roman"/>
      <w:b/>
      <w:bCs/>
      <w:color w:val="auto"/>
      <w:sz w:val="22"/>
      <w:szCs w:val="22"/>
      <w:lang w:eastAsia="cs-CZ"/>
    </w:rPr>
  </w:style>
  <w:style w:type="paragraph" w:customStyle="1" w:styleId="font12">
    <w:name w:val="font12"/>
    <w:basedOn w:val="Normln"/>
    <w:rsid w:val="00830024"/>
    <w:pPr>
      <w:autoSpaceDE/>
      <w:autoSpaceDN/>
      <w:adjustRightInd/>
      <w:spacing w:before="100" w:beforeAutospacing="1" w:after="100" w:afterAutospacing="1" w:line="240" w:lineRule="auto"/>
      <w:textAlignment w:val="auto"/>
    </w:pPr>
    <w:rPr>
      <w:rFonts w:ascii="Arial" w:eastAsia="Times New Roman" w:hAnsi="Arial" w:cs="Times New Roman"/>
      <w:color w:val="auto"/>
      <w:sz w:val="16"/>
      <w:szCs w:val="16"/>
      <w:lang w:eastAsia="cs-CZ"/>
    </w:rPr>
  </w:style>
  <w:style w:type="paragraph" w:customStyle="1" w:styleId="font13">
    <w:name w:val="font13"/>
    <w:basedOn w:val="Normln"/>
    <w:rsid w:val="00830024"/>
    <w:pPr>
      <w:autoSpaceDE/>
      <w:autoSpaceDN/>
      <w:adjustRightInd/>
      <w:spacing w:before="100" w:beforeAutospacing="1" w:after="100" w:afterAutospacing="1" w:line="240" w:lineRule="auto"/>
      <w:textAlignment w:val="auto"/>
    </w:pPr>
    <w:rPr>
      <w:rFonts w:ascii="Arial" w:eastAsia="Times New Roman" w:hAnsi="Arial" w:cs="Times New Roman"/>
      <w:b/>
      <w:bCs/>
      <w:color w:val="auto"/>
      <w:sz w:val="16"/>
      <w:szCs w:val="16"/>
      <w:lang w:eastAsia="cs-CZ"/>
    </w:rPr>
  </w:style>
  <w:style w:type="paragraph" w:customStyle="1" w:styleId="xl23">
    <w:name w:val="xl23"/>
    <w:basedOn w:val="Normln"/>
    <w:rsid w:val="00830024"/>
    <w:pPr>
      <w:pBdr>
        <w:bottom w:val="single" w:sz="8" w:space="0" w:color="auto"/>
      </w:pBdr>
      <w:autoSpaceDE/>
      <w:autoSpaceDN/>
      <w:adjustRightInd/>
      <w:spacing w:before="100" w:beforeAutospacing="1" w:after="100" w:afterAutospacing="1" w:line="240" w:lineRule="auto"/>
      <w:jc w:val="center"/>
      <w:textAlignment w:val="auto"/>
    </w:pPr>
    <w:rPr>
      <w:rFonts w:ascii="Arial" w:eastAsia="Times New Roman" w:hAnsi="Arial" w:cs="Times New Roman"/>
      <w:b/>
      <w:bCs/>
      <w:color w:val="auto"/>
      <w:sz w:val="28"/>
      <w:szCs w:val="28"/>
      <w:lang w:eastAsia="cs-CZ"/>
    </w:rPr>
  </w:style>
  <w:style w:type="paragraph" w:customStyle="1" w:styleId="xl24">
    <w:name w:val="xl24"/>
    <w:basedOn w:val="Normln"/>
    <w:rsid w:val="00830024"/>
    <w:pPr>
      <w:pBdr>
        <w:bottom w:val="single" w:sz="8" w:space="0" w:color="auto"/>
      </w:pBdr>
      <w:autoSpaceDE/>
      <w:autoSpaceDN/>
      <w:adjustRightInd/>
      <w:spacing w:before="100" w:beforeAutospacing="1" w:after="100" w:afterAutospacing="1" w:line="240" w:lineRule="auto"/>
      <w:textAlignment w:val="auto"/>
    </w:pPr>
    <w:rPr>
      <w:rFonts w:ascii="Arial" w:eastAsia="Times New Roman" w:hAnsi="Arial" w:cs="Times New Roman"/>
      <w:color w:val="auto"/>
      <w:sz w:val="24"/>
      <w:szCs w:val="24"/>
      <w:lang w:eastAsia="cs-CZ"/>
    </w:rPr>
  </w:style>
  <w:style w:type="paragraph" w:customStyle="1" w:styleId="xl25">
    <w:name w:val="xl25"/>
    <w:basedOn w:val="Normln"/>
    <w:rsid w:val="00830024"/>
    <w:pPr>
      <w:pBdr>
        <w:top w:val="single" w:sz="8" w:space="0" w:color="auto"/>
        <w:left w:val="single" w:sz="8" w:space="0" w:color="auto"/>
        <w:bottom w:val="double" w:sz="6" w:space="0" w:color="auto"/>
      </w:pBdr>
      <w:autoSpaceDE/>
      <w:autoSpaceDN/>
      <w:adjustRightInd/>
      <w:spacing w:before="100" w:beforeAutospacing="1" w:after="100" w:afterAutospacing="1" w:line="240" w:lineRule="auto"/>
      <w:jc w:val="center"/>
    </w:pPr>
    <w:rPr>
      <w:rFonts w:ascii="Arial" w:eastAsia="Times New Roman" w:hAnsi="Arial" w:cs="Times New Roman"/>
      <w:b/>
      <w:bCs/>
      <w:color w:val="auto"/>
      <w:sz w:val="24"/>
      <w:szCs w:val="24"/>
      <w:lang w:eastAsia="cs-CZ"/>
    </w:rPr>
  </w:style>
  <w:style w:type="paragraph" w:customStyle="1" w:styleId="xl26">
    <w:name w:val="xl26"/>
    <w:basedOn w:val="Normln"/>
    <w:rsid w:val="00830024"/>
    <w:pPr>
      <w:pBdr>
        <w:top w:val="single" w:sz="8" w:space="0" w:color="auto"/>
        <w:left w:val="single" w:sz="4" w:space="0" w:color="auto"/>
        <w:bottom w:val="double" w:sz="6" w:space="0" w:color="auto"/>
        <w:right w:val="single" w:sz="4" w:space="0" w:color="auto"/>
      </w:pBdr>
      <w:autoSpaceDE/>
      <w:autoSpaceDN/>
      <w:adjustRightInd/>
      <w:spacing w:before="100" w:beforeAutospacing="1" w:after="100" w:afterAutospacing="1" w:line="240" w:lineRule="auto"/>
      <w:jc w:val="center"/>
    </w:pPr>
    <w:rPr>
      <w:rFonts w:ascii="Arial" w:eastAsia="Times New Roman" w:hAnsi="Arial" w:cs="Times New Roman"/>
      <w:b/>
      <w:bCs/>
      <w:color w:val="auto"/>
      <w:sz w:val="24"/>
      <w:szCs w:val="24"/>
      <w:lang w:eastAsia="cs-CZ"/>
    </w:rPr>
  </w:style>
  <w:style w:type="paragraph" w:customStyle="1" w:styleId="xl27">
    <w:name w:val="xl27"/>
    <w:basedOn w:val="Normln"/>
    <w:rsid w:val="00830024"/>
    <w:pPr>
      <w:pBdr>
        <w:top w:val="single" w:sz="8" w:space="0" w:color="auto"/>
        <w:bottom w:val="double" w:sz="6" w:space="0" w:color="auto"/>
        <w:right w:val="single" w:sz="8" w:space="0" w:color="auto"/>
      </w:pBdr>
      <w:autoSpaceDE/>
      <w:autoSpaceDN/>
      <w:adjustRightInd/>
      <w:spacing w:before="100" w:beforeAutospacing="1" w:after="100" w:afterAutospacing="1" w:line="240" w:lineRule="auto"/>
      <w:jc w:val="center"/>
    </w:pPr>
    <w:rPr>
      <w:rFonts w:ascii="Arial" w:eastAsia="Times New Roman" w:hAnsi="Arial" w:cs="Times New Roman"/>
      <w:b/>
      <w:bCs/>
      <w:color w:val="auto"/>
      <w:sz w:val="24"/>
      <w:szCs w:val="24"/>
      <w:lang w:eastAsia="cs-CZ"/>
    </w:rPr>
  </w:style>
  <w:style w:type="paragraph" w:customStyle="1" w:styleId="xl28">
    <w:name w:val="xl28"/>
    <w:basedOn w:val="Normln"/>
    <w:rsid w:val="00830024"/>
    <w:pPr>
      <w:pBdr>
        <w:top w:val="double" w:sz="6" w:space="0" w:color="auto"/>
        <w:left w:val="single" w:sz="8" w:space="0" w:color="auto"/>
      </w:pBdr>
      <w:autoSpaceDE/>
      <w:autoSpaceDN/>
      <w:adjustRightInd/>
      <w:spacing w:before="100" w:beforeAutospacing="1" w:after="100" w:afterAutospacing="1" w:line="240" w:lineRule="auto"/>
    </w:pPr>
    <w:rPr>
      <w:rFonts w:ascii="Arial" w:eastAsia="Times New Roman" w:hAnsi="Arial" w:cs="Times New Roman"/>
      <w:b/>
      <w:bCs/>
      <w:color w:val="auto"/>
      <w:sz w:val="22"/>
      <w:szCs w:val="22"/>
      <w:lang w:eastAsia="cs-CZ"/>
    </w:rPr>
  </w:style>
  <w:style w:type="paragraph" w:customStyle="1" w:styleId="xl29">
    <w:name w:val="xl29"/>
    <w:basedOn w:val="Normln"/>
    <w:rsid w:val="00830024"/>
    <w:pPr>
      <w:pBdr>
        <w:left w:val="single" w:sz="8" w:space="0" w:color="auto"/>
        <w:bottom w:val="single" w:sz="4" w:space="0" w:color="auto"/>
        <w:right w:val="single" w:sz="8" w:space="0" w:color="auto"/>
      </w:pBdr>
      <w:autoSpaceDE/>
      <w:autoSpaceDN/>
      <w:adjustRightInd/>
      <w:spacing w:before="100" w:beforeAutospacing="1" w:after="100" w:afterAutospacing="1" w:line="240" w:lineRule="auto"/>
    </w:pPr>
    <w:rPr>
      <w:rFonts w:ascii="Arial" w:eastAsia="Times New Roman" w:hAnsi="Arial" w:cs="Times New Roman"/>
      <w:b/>
      <w:bCs/>
      <w:i/>
      <w:iCs/>
      <w:color w:val="auto"/>
      <w:sz w:val="24"/>
      <w:szCs w:val="24"/>
      <w:lang w:eastAsia="cs-CZ"/>
    </w:rPr>
  </w:style>
  <w:style w:type="paragraph" w:customStyle="1" w:styleId="xl30">
    <w:name w:val="xl30"/>
    <w:basedOn w:val="Normln"/>
    <w:rsid w:val="00830024"/>
    <w:pPr>
      <w:pBdr>
        <w:bottom w:val="single" w:sz="4" w:space="0" w:color="auto"/>
        <w:right w:val="single" w:sz="4" w:space="0" w:color="auto"/>
      </w:pBdr>
      <w:autoSpaceDE/>
      <w:autoSpaceDN/>
      <w:adjustRightInd/>
      <w:spacing w:before="100" w:beforeAutospacing="1" w:after="100" w:afterAutospacing="1" w:line="240" w:lineRule="auto"/>
      <w:jc w:val="center"/>
    </w:pPr>
    <w:rPr>
      <w:rFonts w:ascii="Arial" w:eastAsia="Times New Roman" w:hAnsi="Arial" w:cs="Times New Roman"/>
      <w:color w:val="auto"/>
      <w:sz w:val="24"/>
      <w:szCs w:val="24"/>
      <w:lang w:eastAsia="cs-CZ"/>
    </w:rPr>
  </w:style>
  <w:style w:type="paragraph" w:customStyle="1" w:styleId="xl31">
    <w:name w:val="xl31"/>
    <w:basedOn w:val="Normln"/>
    <w:rsid w:val="00830024"/>
    <w:pPr>
      <w:pBdr>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pPr>
    <w:rPr>
      <w:rFonts w:ascii="Arial" w:eastAsia="Times New Roman" w:hAnsi="Arial" w:cs="Times New Roman"/>
      <w:color w:val="auto"/>
      <w:sz w:val="24"/>
      <w:szCs w:val="24"/>
      <w:lang w:eastAsia="cs-CZ"/>
    </w:rPr>
  </w:style>
  <w:style w:type="paragraph" w:customStyle="1" w:styleId="xl32">
    <w:name w:val="xl32"/>
    <w:basedOn w:val="Normln"/>
    <w:rsid w:val="00830024"/>
    <w:pPr>
      <w:pBdr>
        <w:left w:val="single" w:sz="4" w:space="0" w:color="auto"/>
        <w:bottom w:val="single" w:sz="4" w:space="0" w:color="auto"/>
        <w:right w:val="single" w:sz="8" w:space="0" w:color="auto"/>
      </w:pBdr>
      <w:autoSpaceDE/>
      <w:autoSpaceDN/>
      <w:adjustRightInd/>
      <w:spacing w:before="100" w:beforeAutospacing="1" w:after="100" w:afterAutospacing="1" w:line="240" w:lineRule="auto"/>
    </w:pPr>
    <w:rPr>
      <w:rFonts w:ascii="Arial" w:eastAsia="Times New Roman" w:hAnsi="Arial" w:cs="Times New Roman"/>
      <w:color w:val="auto"/>
      <w:sz w:val="24"/>
      <w:szCs w:val="24"/>
      <w:lang w:eastAsia="cs-CZ"/>
    </w:rPr>
  </w:style>
  <w:style w:type="paragraph" w:customStyle="1" w:styleId="xl33">
    <w:name w:val="xl33"/>
    <w:basedOn w:val="Normln"/>
    <w:rsid w:val="00830024"/>
    <w:pPr>
      <w:pBdr>
        <w:left w:val="single" w:sz="8" w:space="0" w:color="auto"/>
      </w:pBdr>
      <w:autoSpaceDE/>
      <w:autoSpaceDN/>
      <w:adjustRightInd/>
      <w:spacing w:before="100" w:beforeAutospacing="1" w:after="100" w:afterAutospacing="1" w:line="240" w:lineRule="auto"/>
    </w:pPr>
    <w:rPr>
      <w:rFonts w:ascii="Arial" w:eastAsia="Times New Roman" w:hAnsi="Arial" w:cs="Times New Roman"/>
      <w:b/>
      <w:bCs/>
      <w:color w:val="auto"/>
      <w:sz w:val="22"/>
      <w:szCs w:val="22"/>
      <w:lang w:eastAsia="cs-CZ"/>
    </w:rPr>
  </w:style>
  <w:style w:type="paragraph" w:customStyle="1" w:styleId="xl34">
    <w:name w:val="xl34"/>
    <w:basedOn w:val="Normln"/>
    <w:rsid w:val="0083002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line="240" w:lineRule="auto"/>
    </w:pPr>
    <w:rPr>
      <w:rFonts w:ascii="Arial" w:eastAsia="Times New Roman" w:hAnsi="Arial" w:cs="Times New Roman"/>
      <w:b/>
      <w:bCs/>
      <w:i/>
      <w:iCs/>
      <w:color w:val="auto"/>
      <w:sz w:val="24"/>
      <w:szCs w:val="24"/>
      <w:lang w:eastAsia="cs-CZ"/>
    </w:rPr>
  </w:style>
  <w:style w:type="paragraph" w:customStyle="1" w:styleId="xl35">
    <w:name w:val="xl35"/>
    <w:basedOn w:val="Normln"/>
    <w:rsid w:val="00830024"/>
    <w:pPr>
      <w:pBdr>
        <w:top w:val="single" w:sz="4" w:space="0" w:color="auto"/>
        <w:bottom w:val="single" w:sz="4" w:space="0" w:color="auto"/>
        <w:right w:val="single" w:sz="4" w:space="0" w:color="auto"/>
      </w:pBdr>
      <w:autoSpaceDE/>
      <w:autoSpaceDN/>
      <w:adjustRightInd/>
      <w:spacing w:before="100" w:beforeAutospacing="1" w:after="100" w:afterAutospacing="1" w:line="240" w:lineRule="auto"/>
      <w:jc w:val="center"/>
    </w:pPr>
    <w:rPr>
      <w:rFonts w:ascii="Arial" w:eastAsia="Times New Roman" w:hAnsi="Arial" w:cs="Times New Roman"/>
      <w:color w:val="auto"/>
      <w:sz w:val="24"/>
      <w:szCs w:val="24"/>
      <w:lang w:eastAsia="cs-CZ"/>
    </w:rPr>
  </w:style>
  <w:style w:type="paragraph" w:customStyle="1" w:styleId="xl36">
    <w:name w:val="xl36"/>
    <w:basedOn w:val="Normln"/>
    <w:rsid w:val="0083002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pPr>
    <w:rPr>
      <w:rFonts w:ascii="Arial" w:eastAsia="Times New Roman" w:hAnsi="Arial" w:cs="Times New Roman"/>
      <w:color w:val="auto"/>
      <w:sz w:val="24"/>
      <w:szCs w:val="24"/>
      <w:lang w:eastAsia="cs-CZ"/>
    </w:rPr>
  </w:style>
  <w:style w:type="paragraph" w:customStyle="1" w:styleId="xl37">
    <w:name w:val="xl37"/>
    <w:basedOn w:val="Normln"/>
    <w:rsid w:val="00830024"/>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line="240" w:lineRule="auto"/>
    </w:pPr>
    <w:rPr>
      <w:rFonts w:ascii="Arial" w:eastAsia="Times New Roman" w:hAnsi="Arial" w:cs="Times New Roman"/>
      <w:color w:val="auto"/>
      <w:sz w:val="16"/>
      <w:szCs w:val="16"/>
      <w:lang w:eastAsia="cs-CZ"/>
    </w:rPr>
  </w:style>
  <w:style w:type="paragraph" w:customStyle="1" w:styleId="xl38">
    <w:name w:val="xl38"/>
    <w:basedOn w:val="Normln"/>
    <w:rsid w:val="00830024"/>
    <w:pPr>
      <w:pBdr>
        <w:left w:val="single" w:sz="8" w:space="0" w:color="auto"/>
        <w:bottom w:val="single" w:sz="8" w:space="0" w:color="auto"/>
      </w:pBdr>
      <w:autoSpaceDE/>
      <w:autoSpaceDN/>
      <w:adjustRightInd/>
      <w:spacing w:before="100" w:beforeAutospacing="1" w:after="100" w:afterAutospacing="1" w:line="240" w:lineRule="auto"/>
    </w:pPr>
    <w:rPr>
      <w:rFonts w:ascii="Arial" w:eastAsia="Times New Roman" w:hAnsi="Arial" w:cs="Times New Roman"/>
      <w:b/>
      <w:bCs/>
      <w:color w:val="auto"/>
      <w:sz w:val="22"/>
      <w:szCs w:val="22"/>
      <w:lang w:eastAsia="cs-CZ"/>
    </w:rPr>
  </w:style>
  <w:style w:type="paragraph" w:customStyle="1" w:styleId="xl39">
    <w:name w:val="xl39"/>
    <w:basedOn w:val="Normln"/>
    <w:rsid w:val="0083002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line="240" w:lineRule="auto"/>
    </w:pPr>
    <w:rPr>
      <w:rFonts w:ascii="Arial" w:eastAsia="Times New Roman" w:hAnsi="Arial" w:cs="Times New Roman"/>
      <w:b/>
      <w:bCs/>
      <w:i/>
      <w:iCs/>
      <w:color w:val="auto"/>
      <w:sz w:val="24"/>
      <w:szCs w:val="24"/>
      <w:lang w:eastAsia="cs-CZ"/>
    </w:rPr>
  </w:style>
  <w:style w:type="paragraph" w:customStyle="1" w:styleId="xl40">
    <w:name w:val="xl40"/>
    <w:basedOn w:val="Normln"/>
    <w:rsid w:val="00830024"/>
    <w:pPr>
      <w:pBdr>
        <w:top w:val="single" w:sz="4" w:space="0" w:color="auto"/>
        <w:bottom w:val="single" w:sz="8" w:space="0" w:color="auto"/>
        <w:right w:val="single" w:sz="4" w:space="0" w:color="auto"/>
      </w:pBdr>
      <w:autoSpaceDE/>
      <w:autoSpaceDN/>
      <w:adjustRightInd/>
      <w:spacing w:before="100" w:beforeAutospacing="1" w:after="100" w:afterAutospacing="1" w:line="240" w:lineRule="auto"/>
      <w:jc w:val="center"/>
    </w:pPr>
    <w:rPr>
      <w:rFonts w:ascii="Arial" w:eastAsia="Times New Roman" w:hAnsi="Arial" w:cs="Times New Roman"/>
      <w:color w:val="auto"/>
      <w:sz w:val="24"/>
      <w:szCs w:val="24"/>
      <w:lang w:eastAsia="cs-CZ"/>
    </w:rPr>
  </w:style>
  <w:style w:type="paragraph" w:customStyle="1" w:styleId="xl41">
    <w:name w:val="xl41"/>
    <w:basedOn w:val="Normln"/>
    <w:rsid w:val="00830024"/>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jc w:val="center"/>
    </w:pPr>
    <w:rPr>
      <w:rFonts w:ascii="Arial" w:eastAsia="Times New Roman" w:hAnsi="Arial" w:cs="Times New Roman"/>
      <w:color w:val="auto"/>
      <w:sz w:val="24"/>
      <w:szCs w:val="24"/>
      <w:lang w:eastAsia="cs-CZ"/>
    </w:rPr>
  </w:style>
  <w:style w:type="paragraph" w:customStyle="1" w:styleId="xl42">
    <w:name w:val="xl42"/>
    <w:basedOn w:val="Normln"/>
    <w:rsid w:val="00830024"/>
    <w:pPr>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line="240" w:lineRule="auto"/>
    </w:pPr>
    <w:rPr>
      <w:rFonts w:ascii="Arial" w:eastAsia="Times New Roman" w:hAnsi="Arial" w:cs="Times New Roman"/>
      <w:color w:val="auto"/>
      <w:sz w:val="16"/>
      <w:szCs w:val="16"/>
      <w:lang w:eastAsia="cs-CZ"/>
    </w:rPr>
  </w:style>
  <w:style w:type="paragraph" w:customStyle="1" w:styleId="xl43">
    <w:name w:val="xl43"/>
    <w:basedOn w:val="Normln"/>
    <w:rsid w:val="00830024"/>
    <w:pPr>
      <w:pBdr>
        <w:top w:val="single" w:sz="8" w:space="0" w:color="auto"/>
        <w:left w:val="single" w:sz="8" w:space="0" w:color="auto"/>
      </w:pBdr>
      <w:autoSpaceDE/>
      <w:autoSpaceDN/>
      <w:adjustRightInd/>
      <w:spacing w:before="100" w:beforeAutospacing="1" w:after="100" w:afterAutospacing="1" w:line="240" w:lineRule="auto"/>
      <w:jc w:val="center"/>
    </w:pPr>
    <w:rPr>
      <w:rFonts w:ascii="Arial" w:eastAsia="Times New Roman" w:hAnsi="Arial" w:cs="Times New Roman"/>
      <w:b/>
      <w:bCs/>
      <w:color w:val="auto"/>
      <w:sz w:val="22"/>
      <w:szCs w:val="22"/>
      <w:lang w:eastAsia="cs-CZ"/>
    </w:rPr>
  </w:style>
  <w:style w:type="paragraph" w:customStyle="1" w:styleId="xl44">
    <w:name w:val="xl44"/>
    <w:basedOn w:val="Normln"/>
    <w:rsid w:val="0083002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line="240" w:lineRule="auto"/>
    </w:pPr>
    <w:rPr>
      <w:rFonts w:ascii="Arial" w:eastAsia="Times New Roman" w:hAnsi="Arial" w:cs="Times New Roman"/>
      <w:b/>
      <w:bCs/>
      <w:i/>
      <w:iCs/>
      <w:color w:val="auto"/>
      <w:sz w:val="24"/>
      <w:szCs w:val="24"/>
      <w:lang w:eastAsia="cs-CZ"/>
    </w:rPr>
  </w:style>
  <w:style w:type="paragraph" w:customStyle="1" w:styleId="xl45">
    <w:name w:val="xl45"/>
    <w:basedOn w:val="Normln"/>
    <w:rsid w:val="00830024"/>
    <w:pPr>
      <w:pBdr>
        <w:top w:val="single" w:sz="8" w:space="0" w:color="auto"/>
        <w:bottom w:val="single" w:sz="4" w:space="0" w:color="auto"/>
        <w:right w:val="single" w:sz="4" w:space="0" w:color="auto"/>
      </w:pBdr>
      <w:autoSpaceDE/>
      <w:autoSpaceDN/>
      <w:adjustRightInd/>
      <w:spacing w:before="100" w:beforeAutospacing="1" w:after="100" w:afterAutospacing="1" w:line="240" w:lineRule="auto"/>
      <w:jc w:val="center"/>
    </w:pPr>
    <w:rPr>
      <w:rFonts w:ascii="Arial" w:eastAsia="Times New Roman" w:hAnsi="Arial" w:cs="Times New Roman"/>
      <w:color w:val="auto"/>
      <w:sz w:val="24"/>
      <w:szCs w:val="24"/>
      <w:lang w:eastAsia="cs-CZ"/>
    </w:rPr>
  </w:style>
  <w:style w:type="paragraph" w:customStyle="1" w:styleId="xl46">
    <w:name w:val="xl46"/>
    <w:basedOn w:val="Normln"/>
    <w:rsid w:val="00830024"/>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pPr>
    <w:rPr>
      <w:rFonts w:ascii="Arial" w:eastAsia="Times New Roman" w:hAnsi="Arial" w:cs="Times New Roman"/>
      <w:color w:val="auto"/>
      <w:sz w:val="24"/>
      <w:szCs w:val="24"/>
      <w:lang w:eastAsia="cs-CZ"/>
    </w:rPr>
  </w:style>
  <w:style w:type="paragraph" w:customStyle="1" w:styleId="xl47">
    <w:name w:val="xl47"/>
    <w:basedOn w:val="Normln"/>
    <w:rsid w:val="00830024"/>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line="240" w:lineRule="auto"/>
    </w:pPr>
    <w:rPr>
      <w:rFonts w:ascii="Arial" w:eastAsia="Times New Roman" w:hAnsi="Arial" w:cs="Times New Roman"/>
      <w:color w:val="auto"/>
      <w:sz w:val="24"/>
      <w:szCs w:val="24"/>
      <w:lang w:eastAsia="cs-CZ"/>
    </w:rPr>
  </w:style>
  <w:style w:type="paragraph" w:customStyle="1" w:styleId="xl48">
    <w:name w:val="xl48"/>
    <w:basedOn w:val="Normln"/>
    <w:rsid w:val="00830024"/>
    <w:pPr>
      <w:pBdr>
        <w:left w:val="single" w:sz="8" w:space="0" w:color="auto"/>
        <w:bottom w:val="single" w:sz="8" w:space="0" w:color="auto"/>
      </w:pBdr>
      <w:autoSpaceDE/>
      <w:autoSpaceDN/>
      <w:adjustRightInd/>
      <w:spacing w:before="100" w:beforeAutospacing="1" w:after="100" w:afterAutospacing="1" w:line="240" w:lineRule="auto"/>
      <w:jc w:val="center"/>
    </w:pPr>
    <w:rPr>
      <w:rFonts w:ascii="Arial" w:eastAsia="Times New Roman" w:hAnsi="Arial" w:cs="Times New Roman"/>
      <w:b/>
      <w:bCs/>
      <w:color w:val="auto"/>
      <w:sz w:val="22"/>
      <w:szCs w:val="22"/>
      <w:lang w:eastAsia="cs-CZ"/>
    </w:rPr>
  </w:style>
  <w:style w:type="paragraph" w:customStyle="1" w:styleId="xl49">
    <w:name w:val="xl49"/>
    <w:basedOn w:val="Normln"/>
    <w:rsid w:val="00830024"/>
    <w:pPr>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line="240" w:lineRule="auto"/>
    </w:pPr>
    <w:rPr>
      <w:rFonts w:ascii="Arial" w:eastAsia="Times New Roman" w:hAnsi="Arial" w:cs="Times New Roman"/>
      <w:color w:val="auto"/>
      <w:sz w:val="16"/>
      <w:szCs w:val="16"/>
      <w:lang w:eastAsia="cs-CZ"/>
    </w:rPr>
  </w:style>
  <w:style w:type="paragraph" w:customStyle="1" w:styleId="xl50">
    <w:name w:val="xl50"/>
    <w:basedOn w:val="Normln"/>
    <w:rsid w:val="0083002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line="240" w:lineRule="auto"/>
    </w:pPr>
    <w:rPr>
      <w:rFonts w:ascii="Arial" w:eastAsia="Times New Roman" w:hAnsi="Arial" w:cs="Times New Roman"/>
      <w:b/>
      <w:bCs/>
      <w:i/>
      <w:iCs/>
      <w:color w:val="auto"/>
      <w:sz w:val="16"/>
      <w:szCs w:val="16"/>
      <w:lang w:eastAsia="cs-CZ"/>
    </w:rPr>
  </w:style>
  <w:style w:type="paragraph" w:customStyle="1" w:styleId="xl51">
    <w:name w:val="xl51"/>
    <w:basedOn w:val="Normln"/>
    <w:rsid w:val="00830024"/>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line="240" w:lineRule="auto"/>
    </w:pPr>
    <w:rPr>
      <w:rFonts w:ascii="Arial" w:eastAsia="Times New Roman" w:hAnsi="Arial" w:cs="Times New Roman"/>
      <w:b/>
      <w:bCs/>
      <w:i/>
      <w:iCs/>
      <w:color w:val="auto"/>
      <w:sz w:val="16"/>
      <w:szCs w:val="16"/>
      <w:lang w:eastAsia="cs-CZ"/>
    </w:rPr>
  </w:style>
  <w:style w:type="paragraph" w:customStyle="1" w:styleId="xl52">
    <w:name w:val="xl52"/>
    <w:basedOn w:val="Normln"/>
    <w:rsid w:val="00830024"/>
    <w:pPr>
      <w:pBdr>
        <w:left w:val="single" w:sz="4" w:space="0" w:color="auto"/>
        <w:bottom w:val="single" w:sz="8" w:space="0" w:color="auto"/>
        <w:right w:val="single" w:sz="4" w:space="0" w:color="auto"/>
      </w:pBdr>
      <w:autoSpaceDE/>
      <w:autoSpaceDN/>
      <w:adjustRightInd/>
      <w:spacing w:before="100" w:beforeAutospacing="1" w:after="100" w:afterAutospacing="1" w:line="240" w:lineRule="auto"/>
      <w:jc w:val="center"/>
    </w:pPr>
    <w:rPr>
      <w:rFonts w:ascii="Arial" w:eastAsia="Times New Roman" w:hAnsi="Arial" w:cs="Times New Roman"/>
      <w:color w:val="auto"/>
      <w:sz w:val="24"/>
      <w:szCs w:val="24"/>
      <w:lang w:eastAsia="cs-CZ"/>
    </w:rPr>
  </w:style>
  <w:style w:type="paragraph" w:customStyle="1" w:styleId="xl53">
    <w:name w:val="xl53"/>
    <w:basedOn w:val="Normln"/>
    <w:rsid w:val="00830024"/>
    <w:pPr>
      <w:pBdr>
        <w:left w:val="single" w:sz="4" w:space="0" w:color="auto"/>
        <w:bottom w:val="single" w:sz="8" w:space="0" w:color="auto"/>
        <w:right w:val="single" w:sz="8" w:space="0" w:color="auto"/>
      </w:pBdr>
      <w:autoSpaceDE/>
      <w:autoSpaceDN/>
      <w:adjustRightInd/>
      <w:spacing w:before="100" w:beforeAutospacing="1" w:after="100" w:afterAutospacing="1" w:line="240" w:lineRule="auto"/>
    </w:pPr>
    <w:rPr>
      <w:rFonts w:ascii="Arial" w:eastAsia="Times New Roman" w:hAnsi="Arial" w:cs="Times New Roman"/>
      <w:color w:val="auto"/>
      <w:sz w:val="16"/>
      <w:szCs w:val="16"/>
      <w:lang w:eastAsia="cs-CZ"/>
    </w:rPr>
  </w:style>
  <w:style w:type="paragraph" w:customStyle="1" w:styleId="xl54">
    <w:name w:val="xl54"/>
    <w:basedOn w:val="Normln"/>
    <w:rsid w:val="0083002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line="240" w:lineRule="auto"/>
    </w:pPr>
    <w:rPr>
      <w:rFonts w:ascii="Arial" w:eastAsia="Times New Roman" w:hAnsi="Arial" w:cs="Times New Roman"/>
      <w:b/>
      <w:bCs/>
      <w:i/>
      <w:iCs/>
      <w:color w:val="auto"/>
      <w:sz w:val="16"/>
      <w:szCs w:val="16"/>
      <w:lang w:eastAsia="cs-CZ"/>
    </w:rPr>
  </w:style>
  <w:style w:type="paragraph" w:customStyle="1" w:styleId="xl55">
    <w:name w:val="xl55"/>
    <w:basedOn w:val="Normln"/>
    <w:rsid w:val="00830024"/>
    <w:pPr>
      <w:pBdr>
        <w:top w:val="single" w:sz="8" w:space="0" w:color="auto"/>
        <w:left w:val="single" w:sz="8" w:space="0" w:color="auto"/>
        <w:bottom w:val="single" w:sz="8" w:space="0" w:color="auto"/>
      </w:pBdr>
      <w:autoSpaceDE/>
      <w:autoSpaceDN/>
      <w:adjustRightInd/>
      <w:spacing w:before="100" w:beforeAutospacing="1" w:after="100" w:afterAutospacing="1" w:line="240" w:lineRule="auto"/>
      <w:jc w:val="center"/>
    </w:pPr>
    <w:rPr>
      <w:rFonts w:ascii="Arial" w:eastAsia="Times New Roman" w:hAnsi="Arial" w:cs="Times New Roman"/>
      <w:b/>
      <w:bCs/>
      <w:color w:val="auto"/>
      <w:sz w:val="22"/>
      <w:szCs w:val="22"/>
      <w:lang w:eastAsia="cs-CZ"/>
    </w:rPr>
  </w:style>
  <w:style w:type="paragraph" w:customStyle="1" w:styleId="xl56">
    <w:name w:val="xl56"/>
    <w:basedOn w:val="Normln"/>
    <w:rsid w:val="00830024"/>
    <w:pPr>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jc w:val="center"/>
    </w:pPr>
    <w:rPr>
      <w:rFonts w:ascii="Arial" w:eastAsia="Times New Roman" w:hAnsi="Arial" w:cs="Times New Roman"/>
      <w:color w:val="auto"/>
      <w:sz w:val="24"/>
      <w:szCs w:val="24"/>
      <w:lang w:eastAsia="cs-CZ"/>
    </w:rPr>
  </w:style>
  <w:style w:type="paragraph" w:customStyle="1" w:styleId="xl57">
    <w:name w:val="xl57"/>
    <w:basedOn w:val="Normln"/>
    <w:rsid w:val="00830024"/>
    <w:pPr>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line="240" w:lineRule="auto"/>
    </w:pPr>
    <w:rPr>
      <w:rFonts w:ascii="Arial" w:eastAsia="Times New Roman" w:hAnsi="Arial" w:cs="Times New Roman"/>
      <w:b/>
      <w:bCs/>
      <w:i/>
      <w:iCs/>
      <w:color w:val="auto"/>
      <w:sz w:val="16"/>
      <w:szCs w:val="16"/>
      <w:lang w:eastAsia="cs-CZ"/>
    </w:rPr>
  </w:style>
  <w:style w:type="paragraph" w:customStyle="1" w:styleId="xl58">
    <w:name w:val="xl58"/>
    <w:basedOn w:val="Normln"/>
    <w:rsid w:val="00830024"/>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line="240" w:lineRule="auto"/>
    </w:pPr>
    <w:rPr>
      <w:rFonts w:ascii="Arial" w:eastAsia="Times New Roman" w:hAnsi="Arial" w:cs="Times New Roman"/>
      <w:b/>
      <w:bCs/>
      <w:i/>
      <w:iCs/>
      <w:color w:val="auto"/>
      <w:sz w:val="16"/>
      <w:szCs w:val="16"/>
      <w:lang w:eastAsia="cs-CZ"/>
    </w:rPr>
  </w:style>
  <w:style w:type="paragraph" w:customStyle="1" w:styleId="xl59">
    <w:name w:val="xl59"/>
    <w:basedOn w:val="Normln"/>
    <w:rsid w:val="00830024"/>
    <w:pPr>
      <w:pBdr>
        <w:top w:val="single" w:sz="8" w:space="0" w:color="auto"/>
        <w:bottom w:val="single" w:sz="8" w:space="0" w:color="auto"/>
        <w:right w:val="single" w:sz="4" w:space="0" w:color="auto"/>
      </w:pBdr>
      <w:autoSpaceDE/>
      <w:autoSpaceDN/>
      <w:adjustRightInd/>
      <w:spacing w:before="100" w:beforeAutospacing="1" w:after="100" w:afterAutospacing="1" w:line="240" w:lineRule="auto"/>
      <w:jc w:val="center"/>
    </w:pPr>
    <w:rPr>
      <w:rFonts w:ascii="Arial" w:eastAsia="Times New Roman" w:hAnsi="Arial" w:cs="Times New Roman"/>
      <w:color w:val="auto"/>
      <w:sz w:val="24"/>
      <w:szCs w:val="24"/>
      <w:lang w:eastAsia="cs-CZ"/>
    </w:rPr>
  </w:style>
  <w:style w:type="paragraph" w:customStyle="1" w:styleId="xl60">
    <w:name w:val="xl60"/>
    <w:basedOn w:val="Normln"/>
    <w:rsid w:val="00830024"/>
    <w:pPr>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line="240" w:lineRule="auto"/>
    </w:pPr>
    <w:rPr>
      <w:rFonts w:ascii="Arial" w:eastAsia="Times New Roman" w:hAnsi="Arial" w:cs="Times New Roman"/>
      <w:color w:val="auto"/>
      <w:sz w:val="24"/>
      <w:szCs w:val="24"/>
      <w:lang w:eastAsia="cs-CZ"/>
    </w:rPr>
  </w:style>
  <w:style w:type="paragraph" w:customStyle="1" w:styleId="xl61">
    <w:name w:val="xl61"/>
    <w:basedOn w:val="Normln"/>
    <w:rsid w:val="00830024"/>
    <w:pPr>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line="240" w:lineRule="auto"/>
      <w:jc w:val="center"/>
    </w:pPr>
    <w:rPr>
      <w:rFonts w:ascii="Arial" w:eastAsia="Times New Roman" w:hAnsi="Arial" w:cs="Times New Roman"/>
      <w:color w:val="auto"/>
      <w:sz w:val="24"/>
      <w:szCs w:val="24"/>
      <w:lang w:eastAsia="cs-CZ"/>
    </w:rPr>
  </w:style>
  <w:style w:type="paragraph" w:customStyle="1" w:styleId="xl62">
    <w:name w:val="xl62"/>
    <w:basedOn w:val="Normln"/>
    <w:rsid w:val="00830024"/>
    <w:pPr>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line="240" w:lineRule="auto"/>
    </w:pPr>
    <w:rPr>
      <w:rFonts w:ascii="Arial" w:eastAsia="Times New Roman" w:hAnsi="Arial" w:cs="Times New Roman"/>
      <w:b/>
      <w:bCs/>
      <w:color w:val="auto"/>
      <w:sz w:val="16"/>
      <w:szCs w:val="16"/>
      <w:lang w:eastAsia="cs-CZ"/>
    </w:rPr>
  </w:style>
  <w:style w:type="paragraph" w:customStyle="1" w:styleId="xl63">
    <w:name w:val="xl63"/>
    <w:basedOn w:val="Normln"/>
    <w:rsid w:val="00830024"/>
    <w:pPr>
      <w:pBdr>
        <w:top w:val="single" w:sz="8" w:space="0" w:color="auto"/>
        <w:left w:val="single" w:sz="8" w:space="0" w:color="auto"/>
        <w:bottom w:val="single" w:sz="8" w:space="0" w:color="auto"/>
      </w:pBdr>
      <w:autoSpaceDE/>
      <w:autoSpaceDN/>
      <w:adjustRightInd/>
      <w:spacing w:before="100" w:beforeAutospacing="1" w:after="100" w:afterAutospacing="1" w:line="240" w:lineRule="auto"/>
      <w:jc w:val="center"/>
    </w:pPr>
    <w:rPr>
      <w:rFonts w:ascii="Arial" w:eastAsia="Times New Roman" w:hAnsi="Arial" w:cs="Times New Roman"/>
      <w:b/>
      <w:bCs/>
      <w:i/>
      <w:iCs/>
      <w:color w:val="auto"/>
      <w:sz w:val="22"/>
      <w:szCs w:val="22"/>
      <w:lang w:eastAsia="cs-CZ"/>
    </w:rPr>
  </w:style>
  <w:style w:type="paragraph" w:customStyle="1" w:styleId="Styl2">
    <w:name w:val="Styl2"/>
    <w:basedOn w:val="Normln"/>
    <w:rsid w:val="00830024"/>
    <w:pPr>
      <w:spacing w:line="480" w:lineRule="auto"/>
      <w:jc w:val="both"/>
      <w:textAlignment w:val="auto"/>
    </w:pPr>
    <w:rPr>
      <w:rFonts w:ascii="Arial" w:eastAsia="Times New Roman" w:hAnsi="Arial" w:cs="Times New Roman"/>
      <w:color w:val="auto"/>
      <w:sz w:val="24"/>
      <w:szCs w:val="24"/>
      <w:lang w:eastAsia="cs-CZ"/>
    </w:rPr>
  </w:style>
  <w:style w:type="paragraph" w:customStyle="1" w:styleId="Styl1">
    <w:name w:val="Styl1"/>
    <w:basedOn w:val="Normln"/>
    <w:rsid w:val="00830024"/>
    <w:pPr>
      <w:spacing w:line="240" w:lineRule="auto"/>
      <w:jc w:val="both"/>
      <w:textAlignment w:val="auto"/>
    </w:pPr>
    <w:rPr>
      <w:rFonts w:ascii="Times New Roman" w:eastAsia="Times New Roman" w:hAnsi="Times New Roman" w:cs="Times New Roman"/>
      <w:b/>
      <w:bCs/>
      <w:color w:val="auto"/>
      <w:sz w:val="24"/>
      <w:szCs w:val="24"/>
      <w:lang w:eastAsia="cs-CZ"/>
    </w:rPr>
  </w:style>
  <w:style w:type="character" w:customStyle="1" w:styleId="TextkomenteChar">
    <w:name w:val="Text komentáře Char"/>
    <w:basedOn w:val="Standardnpsmoodstavce"/>
    <w:link w:val="Textkomente"/>
    <w:semiHidden/>
    <w:rsid w:val="00830024"/>
    <w:rPr>
      <w:rFonts w:ascii="MS Serif" w:eastAsia="Times New Roman" w:hAnsi="MS Serif" w:cs="Times New Roman"/>
      <w:noProof/>
      <w:sz w:val="20"/>
      <w:szCs w:val="20"/>
      <w:lang w:eastAsia="cs-CZ"/>
      <w14:shadow w14:blurRad="50800" w14:dist="38100" w14:dir="2700000" w14:sx="100000" w14:sy="100000" w14:kx="0" w14:ky="0" w14:algn="tl">
        <w14:srgbClr w14:val="000000">
          <w14:alpha w14:val="60000"/>
        </w14:srgbClr>
      </w14:shadow>
    </w:rPr>
  </w:style>
  <w:style w:type="paragraph" w:styleId="Textkomente">
    <w:name w:val="annotation text"/>
    <w:basedOn w:val="Normln"/>
    <w:link w:val="TextkomenteChar"/>
    <w:semiHidden/>
    <w:rsid w:val="00830024"/>
    <w:pPr>
      <w:autoSpaceDE/>
      <w:autoSpaceDN/>
      <w:adjustRightInd/>
      <w:spacing w:line="240" w:lineRule="auto"/>
      <w:textAlignment w:val="auto"/>
    </w:pPr>
    <w:rPr>
      <w:rFonts w:ascii="MS Serif" w:eastAsia="Times New Roman" w:hAnsi="MS Serif" w:cs="Times New Roman"/>
      <w:noProof/>
      <w:color w:val="auto"/>
      <w:lang w:eastAsia="cs-CZ"/>
      <w14:shadow w14:blurRad="50800" w14:dist="38100" w14:dir="2700000" w14:sx="100000" w14:sy="100000" w14:kx="0" w14:ky="0" w14:algn="tl">
        <w14:srgbClr w14:val="000000">
          <w14:alpha w14:val="60000"/>
        </w14:srgbClr>
      </w14:shadow>
    </w:rPr>
  </w:style>
  <w:style w:type="character" w:customStyle="1" w:styleId="NormlnsWWWChar">
    <w:name w:val="Normální (síť WWW) Char"/>
    <w:rsid w:val="00830024"/>
    <w:rPr>
      <w:sz w:val="24"/>
      <w:szCs w:val="24"/>
      <w:lang w:val="cs-CZ" w:eastAsia="cs-CZ" w:bidi="ar-SA"/>
    </w:rPr>
  </w:style>
  <w:style w:type="paragraph" w:customStyle="1" w:styleId="Zkladntext31">
    <w:name w:val="Základní text 31"/>
    <w:basedOn w:val="Normln"/>
    <w:rsid w:val="00830024"/>
    <w:pPr>
      <w:autoSpaceDE/>
      <w:autoSpaceDN/>
      <w:adjustRightInd/>
      <w:spacing w:line="240" w:lineRule="auto"/>
      <w:jc w:val="both"/>
      <w:textAlignment w:val="auto"/>
    </w:pPr>
    <w:rPr>
      <w:rFonts w:ascii="Times New Roman" w:eastAsia="Times New Roman" w:hAnsi="Times New Roman" w:cs="Times New Roman"/>
      <w:color w:val="FF0000"/>
      <w:sz w:val="24"/>
      <w:lang w:eastAsia="cs-CZ"/>
    </w:rPr>
  </w:style>
  <w:style w:type="paragraph" w:customStyle="1" w:styleId="xl22">
    <w:name w:val="xl22"/>
    <w:basedOn w:val="Normln"/>
    <w:rsid w:val="00830024"/>
    <w:pPr>
      <w:pBdr>
        <w:top w:val="single" w:sz="4" w:space="0" w:color="auto"/>
        <w:left w:val="single" w:sz="4" w:space="0" w:color="auto"/>
      </w:pBdr>
      <w:autoSpaceDE/>
      <w:autoSpaceDN/>
      <w:adjustRightInd/>
      <w:spacing w:before="100" w:beforeAutospacing="1" w:after="100" w:afterAutospacing="1" w:line="240" w:lineRule="auto"/>
      <w:textAlignment w:val="auto"/>
    </w:pPr>
    <w:rPr>
      <w:rFonts w:ascii="Book Antiqua" w:eastAsia="Times New Roman" w:hAnsi="Book Antiqua" w:cs="Times New Roman"/>
      <w:b/>
      <w:bCs/>
      <w:color w:val="auto"/>
      <w:sz w:val="24"/>
      <w:szCs w:val="24"/>
      <w:lang w:eastAsia="cs-CZ"/>
    </w:rPr>
  </w:style>
  <w:style w:type="paragraph" w:styleId="AdresaHTML">
    <w:name w:val="HTML Address"/>
    <w:basedOn w:val="Normln"/>
    <w:link w:val="AdresaHTMLChar"/>
    <w:rsid w:val="00830024"/>
    <w:pPr>
      <w:autoSpaceDE/>
      <w:autoSpaceDN/>
      <w:adjustRightInd/>
      <w:spacing w:line="240" w:lineRule="auto"/>
      <w:textAlignment w:val="auto"/>
    </w:pPr>
    <w:rPr>
      <w:rFonts w:ascii="MS Serif" w:eastAsia="Times New Roman" w:hAnsi="MS Serif" w:cs="Times New Roman"/>
      <w:i/>
      <w:iCs/>
      <w:noProof/>
      <w:color w:val="auto"/>
      <w:lang w:eastAsia="cs-CZ"/>
      <w14:shadow w14:blurRad="50800" w14:dist="38100" w14:dir="2700000" w14:sx="100000" w14:sy="100000" w14:kx="0" w14:ky="0" w14:algn="tl">
        <w14:srgbClr w14:val="000000">
          <w14:alpha w14:val="60000"/>
        </w14:srgbClr>
      </w14:shadow>
    </w:rPr>
  </w:style>
  <w:style w:type="character" w:customStyle="1" w:styleId="AdresaHTMLChar">
    <w:name w:val="Adresa HTML Char"/>
    <w:basedOn w:val="Standardnpsmoodstavce"/>
    <w:link w:val="AdresaHTML"/>
    <w:rsid w:val="00830024"/>
    <w:rPr>
      <w:rFonts w:ascii="MS Serif" w:eastAsia="Times New Roman" w:hAnsi="MS Serif" w:cs="Times New Roman"/>
      <w:i/>
      <w:iCs/>
      <w:noProof/>
      <w:sz w:val="20"/>
      <w:szCs w:val="20"/>
      <w:lang w:eastAsia="cs-CZ"/>
      <w14:shadow w14:blurRad="50800" w14:dist="38100" w14:dir="2700000" w14:sx="100000" w14:sy="100000" w14:kx="0" w14:ky="0" w14:algn="tl">
        <w14:srgbClr w14:val="000000">
          <w14:alpha w14:val="60000"/>
        </w14:srgbClr>
      </w14:shadow>
    </w:rPr>
  </w:style>
  <w:style w:type="paragraph" w:styleId="Adresanaoblku">
    <w:name w:val="envelope address"/>
    <w:basedOn w:val="Normln"/>
    <w:rsid w:val="00830024"/>
    <w:pPr>
      <w:framePr w:w="7920" w:h="1980" w:hRule="exact" w:hSpace="141" w:wrap="auto" w:hAnchor="page" w:xAlign="center" w:yAlign="bottom"/>
      <w:autoSpaceDE/>
      <w:autoSpaceDN/>
      <w:adjustRightInd/>
      <w:spacing w:line="240" w:lineRule="auto"/>
      <w:ind w:left="2880"/>
      <w:textAlignment w:val="auto"/>
    </w:pPr>
    <w:rPr>
      <w:rFonts w:ascii="Arial" w:eastAsia="Times New Roman" w:hAnsi="Arial" w:cs="Arial"/>
      <w:noProof/>
      <w:color w:val="auto"/>
      <w:sz w:val="24"/>
      <w:szCs w:val="24"/>
      <w:lang w:eastAsia="cs-CZ"/>
      <w14:shadow w14:blurRad="50800" w14:dist="38100" w14:dir="2700000" w14:sx="100000" w14:sy="100000" w14:kx="0" w14:ky="0" w14:algn="tl">
        <w14:srgbClr w14:val="000000">
          <w14:alpha w14:val="60000"/>
        </w14:srgbClr>
      </w14:shadow>
    </w:rPr>
  </w:style>
  <w:style w:type="paragraph" w:styleId="slovanseznam">
    <w:name w:val="List Number"/>
    <w:basedOn w:val="Normln"/>
    <w:rsid w:val="00830024"/>
    <w:pPr>
      <w:numPr>
        <w:numId w:val="3"/>
      </w:numPr>
      <w:autoSpaceDE/>
      <w:autoSpaceDN/>
      <w:adjustRightInd/>
      <w:spacing w:line="240" w:lineRule="auto"/>
      <w:textAlignment w:val="auto"/>
    </w:pPr>
    <w:rPr>
      <w:rFonts w:ascii="MS Serif" w:eastAsia="Times New Roman" w:hAnsi="MS Serif" w:cs="Times New Roman"/>
      <w:noProof/>
      <w:color w:val="auto"/>
      <w:lang w:eastAsia="cs-CZ"/>
      <w14:shadow w14:blurRad="50800" w14:dist="38100" w14:dir="2700000" w14:sx="100000" w14:sy="100000" w14:kx="0" w14:ky="0" w14:algn="tl">
        <w14:srgbClr w14:val="000000">
          <w14:alpha w14:val="60000"/>
        </w14:srgbClr>
      </w14:shadow>
    </w:rPr>
  </w:style>
  <w:style w:type="paragraph" w:styleId="slovanseznam2">
    <w:name w:val="List Number 2"/>
    <w:basedOn w:val="Normln"/>
    <w:rsid w:val="00830024"/>
    <w:pPr>
      <w:numPr>
        <w:numId w:val="4"/>
      </w:numPr>
      <w:autoSpaceDE/>
      <w:autoSpaceDN/>
      <w:adjustRightInd/>
      <w:spacing w:line="240" w:lineRule="auto"/>
      <w:textAlignment w:val="auto"/>
    </w:pPr>
    <w:rPr>
      <w:rFonts w:ascii="MS Serif" w:eastAsia="Times New Roman" w:hAnsi="MS Serif" w:cs="Times New Roman"/>
      <w:noProof/>
      <w:color w:val="auto"/>
      <w:lang w:eastAsia="cs-CZ"/>
      <w14:shadow w14:blurRad="50800" w14:dist="38100" w14:dir="2700000" w14:sx="100000" w14:sy="100000" w14:kx="0" w14:ky="0" w14:algn="tl">
        <w14:srgbClr w14:val="000000">
          <w14:alpha w14:val="60000"/>
        </w14:srgbClr>
      </w14:shadow>
    </w:rPr>
  </w:style>
  <w:style w:type="paragraph" w:styleId="slovanseznam3">
    <w:name w:val="List Number 3"/>
    <w:basedOn w:val="Normln"/>
    <w:rsid w:val="00830024"/>
    <w:pPr>
      <w:numPr>
        <w:numId w:val="5"/>
      </w:numPr>
      <w:autoSpaceDE/>
      <w:autoSpaceDN/>
      <w:adjustRightInd/>
      <w:spacing w:line="240" w:lineRule="auto"/>
      <w:textAlignment w:val="auto"/>
    </w:pPr>
    <w:rPr>
      <w:rFonts w:ascii="MS Serif" w:eastAsia="Times New Roman" w:hAnsi="MS Serif" w:cs="Times New Roman"/>
      <w:noProof/>
      <w:color w:val="auto"/>
      <w:lang w:eastAsia="cs-CZ"/>
      <w14:shadow w14:blurRad="50800" w14:dist="38100" w14:dir="2700000" w14:sx="100000" w14:sy="100000" w14:kx="0" w14:ky="0" w14:algn="tl">
        <w14:srgbClr w14:val="000000">
          <w14:alpha w14:val="60000"/>
        </w14:srgbClr>
      </w14:shadow>
    </w:rPr>
  </w:style>
  <w:style w:type="paragraph" w:styleId="slovanseznam4">
    <w:name w:val="List Number 4"/>
    <w:basedOn w:val="Normln"/>
    <w:rsid w:val="00830024"/>
    <w:pPr>
      <w:numPr>
        <w:numId w:val="6"/>
      </w:numPr>
      <w:autoSpaceDE/>
      <w:autoSpaceDN/>
      <w:adjustRightInd/>
      <w:spacing w:line="240" w:lineRule="auto"/>
      <w:textAlignment w:val="auto"/>
    </w:pPr>
    <w:rPr>
      <w:rFonts w:ascii="MS Serif" w:eastAsia="Times New Roman" w:hAnsi="MS Serif" w:cs="Times New Roman"/>
      <w:noProof/>
      <w:color w:val="auto"/>
      <w:lang w:eastAsia="cs-CZ"/>
      <w14:shadow w14:blurRad="50800" w14:dist="38100" w14:dir="2700000" w14:sx="100000" w14:sy="100000" w14:kx="0" w14:ky="0" w14:algn="tl">
        <w14:srgbClr w14:val="000000">
          <w14:alpha w14:val="60000"/>
        </w14:srgbClr>
      </w14:shadow>
    </w:rPr>
  </w:style>
  <w:style w:type="paragraph" w:styleId="slovanseznam5">
    <w:name w:val="List Number 5"/>
    <w:basedOn w:val="Normln"/>
    <w:rsid w:val="00830024"/>
    <w:pPr>
      <w:numPr>
        <w:numId w:val="7"/>
      </w:numPr>
      <w:autoSpaceDE/>
      <w:autoSpaceDN/>
      <w:adjustRightInd/>
      <w:spacing w:line="240" w:lineRule="auto"/>
      <w:textAlignment w:val="auto"/>
    </w:pPr>
    <w:rPr>
      <w:rFonts w:ascii="MS Serif" w:eastAsia="Times New Roman" w:hAnsi="MS Serif" w:cs="Times New Roman"/>
      <w:noProof/>
      <w:color w:val="auto"/>
      <w:lang w:eastAsia="cs-CZ"/>
      <w14:shadow w14:blurRad="50800" w14:dist="38100" w14:dir="2700000" w14:sx="100000" w14:sy="100000" w14:kx="0" w14:ky="0" w14:algn="tl">
        <w14:srgbClr w14:val="000000">
          <w14:alpha w14:val="60000"/>
        </w14:srgbClr>
      </w14:shadow>
    </w:rPr>
  </w:style>
  <w:style w:type="paragraph" w:styleId="Datum">
    <w:name w:val="Date"/>
    <w:basedOn w:val="Normln"/>
    <w:next w:val="Normln"/>
    <w:link w:val="DatumChar"/>
    <w:rsid w:val="00830024"/>
    <w:pPr>
      <w:autoSpaceDE/>
      <w:autoSpaceDN/>
      <w:adjustRightInd/>
      <w:spacing w:line="240" w:lineRule="auto"/>
      <w:textAlignment w:val="auto"/>
    </w:pPr>
    <w:rPr>
      <w:rFonts w:ascii="MS Serif" w:eastAsia="Times New Roman" w:hAnsi="MS Serif" w:cs="Times New Roman"/>
      <w:noProof/>
      <w:color w:val="auto"/>
      <w:lang w:eastAsia="cs-CZ"/>
      <w14:shadow w14:blurRad="50800" w14:dist="38100" w14:dir="2700000" w14:sx="100000" w14:sy="100000" w14:kx="0" w14:ky="0" w14:algn="tl">
        <w14:srgbClr w14:val="000000">
          <w14:alpha w14:val="60000"/>
        </w14:srgbClr>
      </w14:shadow>
    </w:rPr>
  </w:style>
  <w:style w:type="character" w:customStyle="1" w:styleId="DatumChar">
    <w:name w:val="Datum Char"/>
    <w:basedOn w:val="Standardnpsmoodstavce"/>
    <w:link w:val="Datum"/>
    <w:rsid w:val="00830024"/>
    <w:rPr>
      <w:rFonts w:ascii="MS Serif" w:eastAsia="Times New Roman" w:hAnsi="MS Serif" w:cs="Times New Roman"/>
      <w:noProof/>
      <w:sz w:val="20"/>
      <w:szCs w:val="20"/>
      <w:lang w:eastAsia="cs-CZ"/>
      <w14:shadow w14:blurRad="50800" w14:dist="38100" w14:dir="2700000" w14:sx="100000" w14:sy="100000" w14:kx="0" w14:ky="0" w14:algn="tl">
        <w14:srgbClr w14:val="000000">
          <w14:alpha w14:val="60000"/>
        </w14:srgbClr>
      </w14:shadow>
    </w:rPr>
  </w:style>
  <w:style w:type="paragraph" w:styleId="FormtovanvHTML">
    <w:name w:val="HTML Preformatted"/>
    <w:basedOn w:val="Normln"/>
    <w:link w:val="FormtovanvHTMLChar"/>
    <w:rsid w:val="00830024"/>
    <w:pPr>
      <w:autoSpaceDE/>
      <w:autoSpaceDN/>
      <w:adjustRightInd/>
      <w:spacing w:line="240" w:lineRule="auto"/>
      <w:textAlignment w:val="auto"/>
    </w:pPr>
    <w:rPr>
      <w:rFonts w:ascii="Courier New" w:eastAsia="Times New Roman" w:hAnsi="Courier New" w:cs="Courier New"/>
      <w:noProof/>
      <w:color w:val="auto"/>
      <w:lang w:eastAsia="cs-CZ"/>
      <w14:shadow w14:blurRad="50800" w14:dist="38100" w14:dir="2700000" w14:sx="100000" w14:sy="100000" w14:kx="0" w14:ky="0" w14:algn="tl">
        <w14:srgbClr w14:val="000000">
          <w14:alpha w14:val="60000"/>
        </w14:srgbClr>
      </w14:shadow>
    </w:rPr>
  </w:style>
  <w:style w:type="character" w:customStyle="1" w:styleId="FormtovanvHTMLChar">
    <w:name w:val="Formátovaný v HTML Char"/>
    <w:basedOn w:val="Standardnpsmoodstavce"/>
    <w:link w:val="FormtovanvHTML"/>
    <w:rsid w:val="00830024"/>
    <w:rPr>
      <w:rFonts w:ascii="Courier New" w:eastAsia="Times New Roman" w:hAnsi="Courier New" w:cs="Courier New"/>
      <w:noProof/>
      <w:sz w:val="20"/>
      <w:szCs w:val="20"/>
      <w:lang w:eastAsia="cs-CZ"/>
      <w14:shadow w14:blurRad="50800" w14:dist="38100" w14:dir="2700000" w14:sx="100000" w14:sy="100000" w14:kx="0" w14:ky="0" w14:algn="tl">
        <w14:srgbClr w14:val="000000">
          <w14:alpha w14:val="60000"/>
        </w14:srgbClr>
      </w14:shadow>
    </w:rPr>
  </w:style>
  <w:style w:type="paragraph" w:styleId="Nadpispoznmky">
    <w:name w:val="Note Heading"/>
    <w:basedOn w:val="Normln"/>
    <w:next w:val="Normln"/>
    <w:link w:val="NadpispoznmkyChar"/>
    <w:rsid w:val="00830024"/>
    <w:pPr>
      <w:autoSpaceDE/>
      <w:autoSpaceDN/>
      <w:adjustRightInd/>
      <w:spacing w:line="240" w:lineRule="auto"/>
      <w:textAlignment w:val="auto"/>
    </w:pPr>
    <w:rPr>
      <w:rFonts w:ascii="MS Serif" w:eastAsia="Times New Roman" w:hAnsi="MS Serif" w:cs="Times New Roman"/>
      <w:noProof/>
      <w:color w:val="auto"/>
      <w:lang w:eastAsia="cs-CZ"/>
      <w14:shadow w14:blurRad="50800" w14:dist="38100" w14:dir="2700000" w14:sx="100000" w14:sy="100000" w14:kx="0" w14:ky="0" w14:algn="tl">
        <w14:srgbClr w14:val="000000">
          <w14:alpha w14:val="60000"/>
        </w14:srgbClr>
      </w14:shadow>
    </w:rPr>
  </w:style>
  <w:style w:type="character" w:customStyle="1" w:styleId="NadpispoznmkyChar">
    <w:name w:val="Nadpis poznámky Char"/>
    <w:basedOn w:val="Standardnpsmoodstavce"/>
    <w:link w:val="Nadpispoznmky"/>
    <w:rsid w:val="00830024"/>
    <w:rPr>
      <w:rFonts w:ascii="MS Serif" w:eastAsia="Times New Roman" w:hAnsi="MS Serif" w:cs="Times New Roman"/>
      <w:noProof/>
      <w:sz w:val="20"/>
      <w:szCs w:val="20"/>
      <w:lang w:eastAsia="cs-CZ"/>
      <w14:shadow w14:blurRad="50800" w14:dist="38100" w14:dir="2700000" w14:sx="100000" w14:sy="100000" w14:kx="0" w14:ky="0" w14:algn="tl">
        <w14:srgbClr w14:val="000000">
          <w14:alpha w14:val="60000"/>
        </w14:srgbClr>
      </w14:shadow>
    </w:rPr>
  </w:style>
  <w:style w:type="paragraph" w:styleId="Normlnodsazen">
    <w:name w:val="Normal Indent"/>
    <w:basedOn w:val="Normln"/>
    <w:rsid w:val="00830024"/>
    <w:pPr>
      <w:autoSpaceDE/>
      <w:autoSpaceDN/>
      <w:adjustRightInd/>
      <w:spacing w:line="240" w:lineRule="auto"/>
      <w:ind w:left="708"/>
      <w:textAlignment w:val="auto"/>
    </w:pPr>
    <w:rPr>
      <w:rFonts w:ascii="MS Serif" w:eastAsia="Times New Roman" w:hAnsi="MS Serif" w:cs="Times New Roman"/>
      <w:noProof/>
      <w:color w:val="auto"/>
      <w:lang w:eastAsia="cs-CZ"/>
      <w14:shadow w14:blurRad="50800" w14:dist="38100" w14:dir="2700000" w14:sx="100000" w14:sy="100000" w14:kx="0" w14:ky="0" w14:algn="tl">
        <w14:srgbClr w14:val="000000">
          <w14:alpha w14:val="60000"/>
        </w14:srgbClr>
      </w14:shadow>
    </w:rPr>
  </w:style>
  <w:style w:type="paragraph" w:styleId="Osloven">
    <w:name w:val="Salutation"/>
    <w:basedOn w:val="Normln"/>
    <w:next w:val="Normln"/>
    <w:link w:val="OslovenChar"/>
    <w:rsid w:val="00830024"/>
    <w:pPr>
      <w:autoSpaceDE/>
      <w:autoSpaceDN/>
      <w:adjustRightInd/>
      <w:spacing w:line="240" w:lineRule="auto"/>
      <w:textAlignment w:val="auto"/>
    </w:pPr>
    <w:rPr>
      <w:rFonts w:ascii="MS Serif" w:eastAsia="Times New Roman" w:hAnsi="MS Serif" w:cs="Times New Roman"/>
      <w:noProof/>
      <w:color w:val="auto"/>
      <w:lang w:eastAsia="cs-CZ"/>
      <w14:shadow w14:blurRad="50800" w14:dist="38100" w14:dir="2700000" w14:sx="100000" w14:sy="100000" w14:kx="0" w14:ky="0" w14:algn="tl">
        <w14:srgbClr w14:val="000000">
          <w14:alpha w14:val="60000"/>
        </w14:srgbClr>
      </w14:shadow>
    </w:rPr>
  </w:style>
  <w:style w:type="character" w:customStyle="1" w:styleId="OslovenChar">
    <w:name w:val="Oslovení Char"/>
    <w:basedOn w:val="Standardnpsmoodstavce"/>
    <w:link w:val="Osloven"/>
    <w:rsid w:val="00830024"/>
    <w:rPr>
      <w:rFonts w:ascii="MS Serif" w:eastAsia="Times New Roman" w:hAnsi="MS Serif" w:cs="Times New Roman"/>
      <w:noProof/>
      <w:sz w:val="20"/>
      <w:szCs w:val="20"/>
      <w:lang w:eastAsia="cs-CZ"/>
      <w14:shadow w14:blurRad="50800" w14:dist="38100" w14:dir="2700000" w14:sx="100000" w14:sy="100000" w14:kx="0" w14:ky="0" w14:algn="tl">
        <w14:srgbClr w14:val="000000">
          <w14:alpha w14:val="60000"/>
        </w14:srgbClr>
      </w14:shadow>
    </w:rPr>
  </w:style>
  <w:style w:type="paragraph" w:styleId="Podpis">
    <w:name w:val="Signature"/>
    <w:basedOn w:val="Normln"/>
    <w:link w:val="PodpisChar"/>
    <w:rsid w:val="00830024"/>
    <w:pPr>
      <w:autoSpaceDE/>
      <w:autoSpaceDN/>
      <w:adjustRightInd/>
      <w:spacing w:line="240" w:lineRule="auto"/>
      <w:ind w:left="4252"/>
      <w:textAlignment w:val="auto"/>
    </w:pPr>
    <w:rPr>
      <w:rFonts w:ascii="MS Serif" w:eastAsia="Times New Roman" w:hAnsi="MS Serif" w:cs="Times New Roman"/>
      <w:noProof/>
      <w:color w:val="auto"/>
      <w:lang w:eastAsia="cs-CZ"/>
      <w14:shadow w14:blurRad="50800" w14:dist="38100" w14:dir="2700000" w14:sx="100000" w14:sy="100000" w14:kx="0" w14:ky="0" w14:algn="tl">
        <w14:srgbClr w14:val="000000">
          <w14:alpha w14:val="60000"/>
        </w14:srgbClr>
      </w14:shadow>
    </w:rPr>
  </w:style>
  <w:style w:type="character" w:customStyle="1" w:styleId="PodpisChar">
    <w:name w:val="Podpis Char"/>
    <w:basedOn w:val="Standardnpsmoodstavce"/>
    <w:link w:val="Podpis"/>
    <w:rsid w:val="00830024"/>
    <w:rPr>
      <w:rFonts w:ascii="MS Serif" w:eastAsia="Times New Roman" w:hAnsi="MS Serif" w:cs="Times New Roman"/>
      <w:noProof/>
      <w:sz w:val="20"/>
      <w:szCs w:val="20"/>
      <w:lang w:eastAsia="cs-CZ"/>
      <w14:shadow w14:blurRad="50800" w14:dist="38100" w14:dir="2700000" w14:sx="100000" w14:sy="100000" w14:kx="0" w14:ky="0" w14:algn="tl">
        <w14:srgbClr w14:val="000000">
          <w14:alpha w14:val="60000"/>
        </w14:srgbClr>
      </w14:shadow>
    </w:rPr>
  </w:style>
  <w:style w:type="paragraph" w:styleId="Podpise-mailu">
    <w:name w:val="E-mail Signature"/>
    <w:basedOn w:val="Normln"/>
    <w:link w:val="Podpise-mailuChar"/>
    <w:rsid w:val="00830024"/>
    <w:pPr>
      <w:autoSpaceDE/>
      <w:autoSpaceDN/>
      <w:adjustRightInd/>
      <w:spacing w:line="240" w:lineRule="auto"/>
      <w:textAlignment w:val="auto"/>
    </w:pPr>
    <w:rPr>
      <w:rFonts w:ascii="MS Serif" w:eastAsia="Times New Roman" w:hAnsi="MS Serif" w:cs="Times New Roman"/>
      <w:noProof/>
      <w:color w:val="auto"/>
      <w:lang w:eastAsia="cs-CZ"/>
      <w14:shadow w14:blurRad="50800" w14:dist="38100" w14:dir="2700000" w14:sx="100000" w14:sy="100000" w14:kx="0" w14:ky="0" w14:algn="tl">
        <w14:srgbClr w14:val="000000">
          <w14:alpha w14:val="60000"/>
        </w14:srgbClr>
      </w14:shadow>
    </w:rPr>
  </w:style>
  <w:style w:type="character" w:customStyle="1" w:styleId="Podpise-mailuChar">
    <w:name w:val="Podpis e-mailu Char"/>
    <w:basedOn w:val="Standardnpsmoodstavce"/>
    <w:link w:val="Podpise-mailu"/>
    <w:rsid w:val="00830024"/>
    <w:rPr>
      <w:rFonts w:ascii="MS Serif" w:eastAsia="Times New Roman" w:hAnsi="MS Serif" w:cs="Times New Roman"/>
      <w:noProof/>
      <w:sz w:val="20"/>
      <w:szCs w:val="20"/>
      <w:lang w:eastAsia="cs-CZ"/>
      <w14:shadow w14:blurRad="50800" w14:dist="38100" w14:dir="2700000" w14:sx="100000" w14:sy="100000" w14:kx="0" w14:ky="0" w14:algn="tl">
        <w14:srgbClr w14:val="000000">
          <w14:alpha w14:val="60000"/>
        </w14:srgbClr>
      </w14:shadow>
    </w:rPr>
  </w:style>
  <w:style w:type="paragraph" w:styleId="Pokraovnseznamu">
    <w:name w:val="List Continue"/>
    <w:basedOn w:val="Normln"/>
    <w:rsid w:val="00830024"/>
    <w:pPr>
      <w:autoSpaceDE/>
      <w:autoSpaceDN/>
      <w:adjustRightInd/>
      <w:spacing w:after="120" w:line="240" w:lineRule="auto"/>
      <w:ind w:left="283"/>
      <w:textAlignment w:val="auto"/>
    </w:pPr>
    <w:rPr>
      <w:rFonts w:ascii="MS Serif" w:eastAsia="Times New Roman" w:hAnsi="MS Serif" w:cs="Times New Roman"/>
      <w:noProof/>
      <w:color w:val="auto"/>
      <w:lang w:eastAsia="cs-CZ"/>
      <w14:shadow w14:blurRad="50800" w14:dist="38100" w14:dir="2700000" w14:sx="100000" w14:sy="100000" w14:kx="0" w14:ky="0" w14:algn="tl">
        <w14:srgbClr w14:val="000000">
          <w14:alpha w14:val="60000"/>
        </w14:srgbClr>
      </w14:shadow>
    </w:rPr>
  </w:style>
  <w:style w:type="paragraph" w:styleId="Pokraovnseznamu2">
    <w:name w:val="List Continue 2"/>
    <w:basedOn w:val="Normln"/>
    <w:rsid w:val="00830024"/>
    <w:pPr>
      <w:autoSpaceDE/>
      <w:autoSpaceDN/>
      <w:adjustRightInd/>
      <w:spacing w:after="120" w:line="240" w:lineRule="auto"/>
      <w:ind w:left="566"/>
      <w:textAlignment w:val="auto"/>
    </w:pPr>
    <w:rPr>
      <w:rFonts w:ascii="MS Serif" w:eastAsia="Times New Roman" w:hAnsi="MS Serif" w:cs="Times New Roman"/>
      <w:noProof/>
      <w:color w:val="auto"/>
      <w:lang w:eastAsia="cs-CZ"/>
      <w14:shadow w14:blurRad="50800" w14:dist="38100" w14:dir="2700000" w14:sx="100000" w14:sy="100000" w14:kx="0" w14:ky="0" w14:algn="tl">
        <w14:srgbClr w14:val="000000">
          <w14:alpha w14:val="60000"/>
        </w14:srgbClr>
      </w14:shadow>
    </w:rPr>
  </w:style>
  <w:style w:type="paragraph" w:styleId="Pokraovnseznamu3">
    <w:name w:val="List Continue 3"/>
    <w:basedOn w:val="Normln"/>
    <w:rsid w:val="00830024"/>
    <w:pPr>
      <w:autoSpaceDE/>
      <w:autoSpaceDN/>
      <w:adjustRightInd/>
      <w:spacing w:after="120" w:line="240" w:lineRule="auto"/>
      <w:ind w:left="849"/>
      <w:textAlignment w:val="auto"/>
    </w:pPr>
    <w:rPr>
      <w:rFonts w:ascii="MS Serif" w:eastAsia="Times New Roman" w:hAnsi="MS Serif" w:cs="Times New Roman"/>
      <w:noProof/>
      <w:color w:val="auto"/>
      <w:lang w:eastAsia="cs-CZ"/>
      <w14:shadow w14:blurRad="50800" w14:dist="38100" w14:dir="2700000" w14:sx="100000" w14:sy="100000" w14:kx="0" w14:ky="0" w14:algn="tl">
        <w14:srgbClr w14:val="000000">
          <w14:alpha w14:val="60000"/>
        </w14:srgbClr>
      </w14:shadow>
    </w:rPr>
  </w:style>
  <w:style w:type="paragraph" w:styleId="Pokraovnseznamu4">
    <w:name w:val="List Continue 4"/>
    <w:basedOn w:val="Normln"/>
    <w:rsid w:val="00830024"/>
    <w:pPr>
      <w:autoSpaceDE/>
      <w:autoSpaceDN/>
      <w:adjustRightInd/>
      <w:spacing w:after="120" w:line="240" w:lineRule="auto"/>
      <w:ind w:left="1132"/>
      <w:textAlignment w:val="auto"/>
    </w:pPr>
    <w:rPr>
      <w:rFonts w:ascii="MS Serif" w:eastAsia="Times New Roman" w:hAnsi="MS Serif" w:cs="Times New Roman"/>
      <w:noProof/>
      <w:color w:val="auto"/>
      <w:lang w:eastAsia="cs-CZ"/>
      <w14:shadow w14:blurRad="50800" w14:dist="38100" w14:dir="2700000" w14:sx="100000" w14:sy="100000" w14:kx="0" w14:ky="0" w14:algn="tl">
        <w14:srgbClr w14:val="000000">
          <w14:alpha w14:val="60000"/>
        </w14:srgbClr>
      </w14:shadow>
    </w:rPr>
  </w:style>
  <w:style w:type="paragraph" w:styleId="Pokraovnseznamu5">
    <w:name w:val="List Continue 5"/>
    <w:basedOn w:val="Normln"/>
    <w:rsid w:val="00830024"/>
    <w:pPr>
      <w:autoSpaceDE/>
      <w:autoSpaceDN/>
      <w:adjustRightInd/>
      <w:spacing w:after="120" w:line="240" w:lineRule="auto"/>
      <w:ind w:left="1415"/>
      <w:textAlignment w:val="auto"/>
    </w:pPr>
    <w:rPr>
      <w:rFonts w:ascii="MS Serif" w:eastAsia="Times New Roman" w:hAnsi="MS Serif" w:cs="Times New Roman"/>
      <w:noProof/>
      <w:color w:val="auto"/>
      <w:lang w:eastAsia="cs-CZ"/>
      <w14:shadow w14:blurRad="50800" w14:dist="38100" w14:dir="2700000" w14:sx="100000" w14:sy="100000" w14:kx="0" w14:ky="0" w14:algn="tl">
        <w14:srgbClr w14:val="000000">
          <w14:alpha w14:val="60000"/>
        </w14:srgbClr>
      </w14:shadow>
    </w:rPr>
  </w:style>
  <w:style w:type="paragraph" w:styleId="Seznam">
    <w:name w:val="List"/>
    <w:basedOn w:val="Normln"/>
    <w:rsid w:val="00830024"/>
    <w:pPr>
      <w:autoSpaceDE/>
      <w:autoSpaceDN/>
      <w:adjustRightInd/>
      <w:spacing w:line="240" w:lineRule="auto"/>
      <w:ind w:left="283" w:hanging="283"/>
      <w:textAlignment w:val="auto"/>
    </w:pPr>
    <w:rPr>
      <w:rFonts w:ascii="MS Serif" w:eastAsia="Times New Roman" w:hAnsi="MS Serif" w:cs="Times New Roman"/>
      <w:noProof/>
      <w:color w:val="auto"/>
      <w:lang w:eastAsia="cs-CZ"/>
      <w14:shadow w14:blurRad="50800" w14:dist="38100" w14:dir="2700000" w14:sx="100000" w14:sy="100000" w14:kx="0" w14:ky="0" w14:algn="tl">
        <w14:srgbClr w14:val="000000">
          <w14:alpha w14:val="60000"/>
        </w14:srgbClr>
      </w14:shadow>
    </w:rPr>
  </w:style>
  <w:style w:type="paragraph" w:styleId="Seznam2">
    <w:name w:val="List 2"/>
    <w:basedOn w:val="Normln"/>
    <w:rsid w:val="00830024"/>
    <w:pPr>
      <w:autoSpaceDE/>
      <w:autoSpaceDN/>
      <w:adjustRightInd/>
      <w:spacing w:line="240" w:lineRule="auto"/>
      <w:ind w:left="566" w:hanging="283"/>
      <w:textAlignment w:val="auto"/>
    </w:pPr>
    <w:rPr>
      <w:rFonts w:ascii="MS Serif" w:eastAsia="Times New Roman" w:hAnsi="MS Serif" w:cs="Times New Roman"/>
      <w:noProof/>
      <w:color w:val="auto"/>
      <w:lang w:eastAsia="cs-CZ"/>
      <w14:shadow w14:blurRad="50800" w14:dist="38100" w14:dir="2700000" w14:sx="100000" w14:sy="100000" w14:kx="0" w14:ky="0" w14:algn="tl">
        <w14:srgbClr w14:val="000000">
          <w14:alpha w14:val="60000"/>
        </w14:srgbClr>
      </w14:shadow>
    </w:rPr>
  </w:style>
  <w:style w:type="paragraph" w:styleId="Seznam3">
    <w:name w:val="List 3"/>
    <w:basedOn w:val="Normln"/>
    <w:rsid w:val="00830024"/>
    <w:pPr>
      <w:autoSpaceDE/>
      <w:autoSpaceDN/>
      <w:adjustRightInd/>
      <w:spacing w:line="240" w:lineRule="auto"/>
      <w:ind w:left="849" w:hanging="283"/>
      <w:textAlignment w:val="auto"/>
    </w:pPr>
    <w:rPr>
      <w:rFonts w:ascii="MS Serif" w:eastAsia="Times New Roman" w:hAnsi="MS Serif" w:cs="Times New Roman"/>
      <w:noProof/>
      <w:color w:val="auto"/>
      <w:lang w:eastAsia="cs-CZ"/>
      <w14:shadow w14:blurRad="50800" w14:dist="38100" w14:dir="2700000" w14:sx="100000" w14:sy="100000" w14:kx="0" w14:ky="0" w14:algn="tl">
        <w14:srgbClr w14:val="000000">
          <w14:alpha w14:val="60000"/>
        </w14:srgbClr>
      </w14:shadow>
    </w:rPr>
  </w:style>
  <w:style w:type="paragraph" w:styleId="Seznam4">
    <w:name w:val="List 4"/>
    <w:basedOn w:val="Normln"/>
    <w:rsid w:val="00830024"/>
    <w:pPr>
      <w:autoSpaceDE/>
      <w:autoSpaceDN/>
      <w:adjustRightInd/>
      <w:spacing w:line="240" w:lineRule="auto"/>
      <w:ind w:left="1132" w:hanging="283"/>
      <w:textAlignment w:val="auto"/>
    </w:pPr>
    <w:rPr>
      <w:rFonts w:ascii="MS Serif" w:eastAsia="Times New Roman" w:hAnsi="MS Serif" w:cs="Times New Roman"/>
      <w:noProof/>
      <w:color w:val="auto"/>
      <w:lang w:eastAsia="cs-CZ"/>
      <w14:shadow w14:blurRad="50800" w14:dist="38100" w14:dir="2700000" w14:sx="100000" w14:sy="100000" w14:kx="0" w14:ky="0" w14:algn="tl">
        <w14:srgbClr w14:val="000000">
          <w14:alpha w14:val="60000"/>
        </w14:srgbClr>
      </w14:shadow>
    </w:rPr>
  </w:style>
  <w:style w:type="paragraph" w:styleId="Seznam5">
    <w:name w:val="List 5"/>
    <w:basedOn w:val="Normln"/>
    <w:rsid w:val="00830024"/>
    <w:pPr>
      <w:autoSpaceDE/>
      <w:autoSpaceDN/>
      <w:adjustRightInd/>
      <w:spacing w:line="240" w:lineRule="auto"/>
      <w:ind w:left="1415" w:hanging="283"/>
      <w:textAlignment w:val="auto"/>
    </w:pPr>
    <w:rPr>
      <w:rFonts w:ascii="MS Serif" w:eastAsia="Times New Roman" w:hAnsi="MS Serif" w:cs="Times New Roman"/>
      <w:noProof/>
      <w:color w:val="auto"/>
      <w:lang w:eastAsia="cs-CZ"/>
      <w14:shadow w14:blurRad="50800" w14:dist="38100" w14:dir="2700000" w14:sx="100000" w14:sy="100000" w14:kx="0" w14:ky="0" w14:algn="tl">
        <w14:srgbClr w14:val="000000">
          <w14:alpha w14:val="60000"/>
        </w14:srgbClr>
      </w14:shadow>
    </w:rPr>
  </w:style>
  <w:style w:type="paragraph" w:styleId="Seznamsodrkami">
    <w:name w:val="List Bullet"/>
    <w:basedOn w:val="Normln"/>
    <w:autoRedefine/>
    <w:rsid w:val="00830024"/>
    <w:pPr>
      <w:numPr>
        <w:numId w:val="8"/>
      </w:numPr>
      <w:autoSpaceDE/>
      <w:autoSpaceDN/>
      <w:adjustRightInd/>
      <w:spacing w:line="240" w:lineRule="auto"/>
      <w:textAlignment w:val="auto"/>
    </w:pPr>
    <w:rPr>
      <w:rFonts w:ascii="MS Serif" w:eastAsia="Times New Roman" w:hAnsi="MS Serif" w:cs="Times New Roman"/>
      <w:noProof/>
      <w:color w:val="auto"/>
      <w:lang w:eastAsia="cs-CZ"/>
      <w14:shadow w14:blurRad="50800" w14:dist="38100" w14:dir="2700000" w14:sx="100000" w14:sy="100000" w14:kx="0" w14:ky="0" w14:algn="tl">
        <w14:srgbClr w14:val="000000">
          <w14:alpha w14:val="60000"/>
        </w14:srgbClr>
      </w14:shadow>
    </w:rPr>
  </w:style>
  <w:style w:type="paragraph" w:styleId="Seznamsodrkami2">
    <w:name w:val="List Bullet 2"/>
    <w:basedOn w:val="Normln"/>
    <w:autoRedefine/>
    <w:rsid w:val="00830024"/>
    <w:pPr>
      <w:numPr>
        <w:numId w:val="9"/>
      </w:numPr>
      <w:autoSpaceDE/>
      <w:autoSpaceDN/>
      <w:adjustRightInd/>
      <w:spacing w:line="240" w:lineRule="auto"/>
      <w:textAlignment w:val="auto"/>
    </w:pPr>
    <w:rPr>
      <w:rFonts w:ascii="MS Serif" w:eastAsia="Times New Roman" w:hAnsi="MS Serif" w:cs="Times New Roman"/>
      <w:noProof/>
      <w:color w:val="auto"/>
      <w:lang w:eastAsia="cs-CZ"/>
      <w14:shadow w14:blurRad="50800" w14:dist="38100" w14:dir="2700000" w14:sx="100000" w14:sy="100000" w14:kx="0" w14:ky="0" w14:algn="tl">
        <w14:srgbClr w14:val="000000">
          <w14:alpha w14:val="60000"/>
        </w14:srgbClr>
      </w14:shadow>
    </w:rPr>
  </w:style>
  <w:style w:type="paragraph" w:styleId="Seznamsodrkami3">
    <w:name w:val="List Bullet 3"/>
    <w:basedOn w:val="Normln"/>
    <w:autoRedefine/>
    <w:rsid w:val="00830024"/>
    <w:pPr>
      <w:numPr>
        <w:numId w:val="10"/>
      </w:numPr>
      <w:autoSpaceDE/>
      <w:autoSpaceDN/>
      <w:adjustRightInd/>
      <w:spacing w:line="240" w:lineRule="auto"/>
      <w:textAlignment w:val="auto"/>
    </w:pPr>
    <w:rPr>
      <w:rFonts w:ascii="MS Serif" w:eastAsia="Times New Roman" w:hAnsi="MS Serif" w:cs="Times New Roman"/>
      <w:noProof/>
      <w:color w:val="auto"/>
      <w:lang w:eastAsia="cs-CZ"/>
      <w14:shadow w14:blurRad="50800" w14:dist="38100" w14:dir="2700000" w14:sx="100000" w14:sy="100000" w14:kx="0" w14:ky="0" w14:algn="tl">
        <w14:srgbClr w14:val="000000">
          <w14:alpha w14:val="60000"/>
        </w14:srgbClr>
      </w14:shadow>
    </w:rPr>
  </w:style>
  <w:style w:type="paragraph" w:styleId="Seznamsodrkami4">
    <w:name w:val="List Bullet 4"/>
    <w:basedOn w:val="Normln"/>
    <w:autoRedefine/>
    <w:rsid w:val="00830024"/>
    <w:pPr>
      <w:numPr>
        <w:numId w:val="11"/>
      </w:numPr>
      <w:autoSpaceDE/>
      <w:autoSpaceDN/>
      <w:adjustRightInd/>
      <w:spacing w:line="240" w:lineRule="auto"/>
      <w:textAlignment w:val="auto"/>
    </w:pPr>
    <w:rPr>
      <w:rFonts w:ascii="MS Serif" w:eastAsia="Times New Roman" w:hAnsi="MS Serif" w:cs="Times New Roman"/>
      <w:noProof/>
      <w:color w:val="auto"/>
      <w:lang w:eastAsia="cs-CZ"/>
      <w14:shadow w14:blurRad="50800" w14:dist="38100" w14:dir="2700000" w14:sx="100000" w14:sy="100000" w14:kx="0" w14:ky="0" w14:algn="tl">
        <w14:srgbClr w14:val="000000">
          <w14:alpha w14:val="60000"/>
        </w14:srgbClr>
      </w14:shadow>
    </w:rPr>
  </w:style>
  <w:style w:type="paragraph" w:styleId="Seznamsodrkami5">
    <w:name w:val="List Bullet 5"/>
    <w:basedOn w:val="Normln"/>
    <w:autoRedefine/>
    <w:rsid w:val="00830024"/>
    <w:pPr>
      <w:numPr>
        <w:numId w:val="12"/>
      </w:numPr>
      <w:autoSpaceDE/>
      <w:autoSpaceDN/>
      <w:adjustRightInd/>
      <w:spacing w:line="240" w:lineRule="auto"/>
      <w:textAlignment w:val="auto"/>
    </w:pPr>
    <w:rPr>
      <w:rFonts w:ascii="MS Serif" w:eastAsia="Times New Roman" w:hAnsi="MS Serif" w:cs="Times New Roman"/>
      <w:noProof/>
      <w:color w:val="auto"/>
      <w:lang w:eastAsia="cs-CZ"/>
      <w14:shadow w14:blurRad="50800" w14:dist="38100" w14:dir="2700000" w14:sx="100000" w14:sy="100000" w14:kx="0" w14:ky="0" w14:algn="tl">
        <w14:srgbClr w14:val="000000">
          <w14:alpha w14:val="60000"/>
        </w14:srgbClr>
      </w14:shadow>
    </w:rPr>
  </w:style>
  <w:style w:type="paragraph" w:styleId="Zhlavzprvy">
    <w:name w:val="Message Header"/>
    <w:basedOn w:val="Normln"/>
    <w:link w:val="ZhlavzprvyChar"/>
    <w:rsid w:val="00830024"/>
    <w:pPr>
      <w:pBdr>
        <w:top w:val="single" w:sz="6" w:space="1" w:color="auto"/>
        <w:left w:val="single" w:sz="6" w:space="1" w:color="auto"/>
        <w:bottom w:val="single" w:sz="6" w:space="1" w:color="auto"/>
        <w:right w:val="single" w:sz="6" w:space="1" w:color="auto"/>
      </w:pBdr>
      <w:shd w:val="pct20" w:color="auto" w:fill="auto"/>
      <w:autoSpaceDE/>
      <w:autoSpaceDN/>
      <w:adjustRightInd/>
      <w:spacing w:line="240" w:lineRule="auto"/>
      <w:ind w:left="1134" w:hanging="1134"/>
      <w:textAlignment w:val="auto"/>
    </w:pPr>
    <w:rPr>
      <w:rFonts w:ascii="Arial" w:eastAsia="Times New Roman" w:hAnsi="Arial" w:cs="Arial"/>
      <w:noProof/>
      <w:color w:val="auto"/>
      <w:sz w:val="24"/>
      <w:szCs w:val="24"/>
      <w:lang w:eastAsia="cs-CZ"/>
      <w14:shadow w14:blurRad="50800" w14:dist="38100" w14:dir="2700000" w14:sx="100000" w14:sy="100000" w14:kx="0" w14:ky="0" w14:algn="tl">
        <w14:srgbClr w14:val="000000">
          <w14:alpha w14:val="60000"/>
        </w14:srgbClr>
      </w14:shadow>
    </w:rPr>
  </w:style>
  <w:style w:type="character" w:customStyle="1" w:styleId="ZhlavzprvyChar">
    <w:name w:val="Záhlaví zprávy Char"/>
    <w:basedOn w:val="Standardnpsmoodstavce"/>
    <w:link w:val="Zhlavzprvy"/>
    <w:rsid w:val="00830024"/>
    <w:rPr>
      <w:rFonts w:ascii="Arial" w:eastAsia="Times New Roman" w:hAnsi="Arial" w:cs="Arial"/>
      <w:noProof/>
      <w:sz w:val="24"/>
      <w:szCs w:val="24"/>
      <w:shd w:val="pct20" w:color="auto" w:fill="auto"/>
      <w:lang w:eastAsia="cs-CZ"/>
      <w14:shadow w14:blurRad="50800" w14:dist="38100" w14:dir="2700000" w14:sx="100000" w14:sy="100000" w14:kx="0" w14:ky="0" w14:algn="tl">
        <w14:srgbClr w14:val="000000">
          <w14:alpha w14:val="60000"/>
        </w14:srgbClr>
      </w14:shadow>
    </w:rPr>
  </w:style>
  <w:style w:type="paragraph" w:styleId="Zkladntext-prvnodsazen">
    <w:name w:val="Body Text First Indent"/>
    <w:basedOn w:val="Zkladntext"/>
    <w:link w:val="Zkladntext-prvnodsazenChar"/>
    <w:rsid w:val="00830024"/>
    <w:pPr>
      <w:spacing w:after="120"/>
      <w:ind w:firstLine="210"/>
    </w:pPr>
  </w:style>
  <w:style w:type="character" w:customStyle="1" w:styleId="Zkladntext-prvnodsazenChar">
    <w:name w:val="Základní text - první odsazený Char"/>
    <w:basedOn w:val="ZkladntextChar"/>
    <w:link w:val="Zkladntext-prvnodsazen"/>
    <w:rsid w:val="00830024"/>
    <w:rPr>
      <w:rFonts w:ascii="MS Serif" w:eastAsia="Times New Roman" w:hAnsi="MS Serif" w:cs="Times New Roman"/>
      <w:noProof/>
      <w:sz w:val="20"/>
      <w:szCs w:val="20"/>
      <w:lang w:eastAsia="cs-CZ"/>
      <w14:shadow w14:blurRad="50800" w14:dist="38100" w14:dir="2700000" w14:sx="100000" w14:sy="100000" w14:kx="0" w14:ky="0" w14:algn="tl">
        <w14:srgbClr w14:val="000000">
          <w14:alpha w14:val="60000"/>
        </w14:srgbClr>
      </w14:shadow>
    </w:rPr>
  </w:style>
  <w:style w:type="paragraph" w:styleId="Zkladntext-prvnodsazen2">
    <w:name w:val="Body Text First Indent 2"/>
    <w:basedOn w:val="Zkladntextodsazen"/>
    <w:link w:val="Zkladntext-prvnodsazen2Char"/>
    <w:rsid w:val="00830024"/>
    <w:pPr>
      <w:spacing w:after="120" w:line="240" w:lineRule="auto"/>
      <w:ind w:firstLine="210"/>
      <w:jc w:val="left"/>
    </w:pPr>
    <w:rPr>
      <w:rFonts w:ascii="MS Serif" w:hAnsi="MS Serif"/>
      <w:color w:val="auto"/>
      <w:sz w:val="20"/>
    </w:rPr>
  </w:style>
  <w:style w:type="character" w:customStyle="1" w:styleId="Zkladntext-prvnodsazen2Char">
    <w:name w:val="Základní text - první odsazený 2 Char"/>
    <w:basedOn w:val="ZkladntextodsazenChar"/>
    <w:link w:val="Zkladntext-prvnodsazen2"/>
    <w:rsid w:val="00830024"/>
    <w:rPr>
      <w:rFonts w:ascii="MS Serif" w:eastAsia="Times New Roman" w:hAnsi="MS Serif" w:cs="Times New Roman"/>
      <w:noProof/>
      <w:color w:val="000000"/>
      <w:sz w:val="20"/>
      <w:szCs w:val="20"/>
      <w:lang w:eastAsia="cs-CZ"/>
      <w14:shadow w14:blurRad="50800" w14:dist="38100" w14:dir="2700000" w14:sx="100000" w14:sy="100000" w14:kx="0" w14:ky="0" w14:algn="tl">
        <w14:srgbClr w14:val="000000">
          <w14:alpha w14:val="60000"/>
        </w14:srgbClr>
      </w14:shadow>
    </w:rPr>
  </w:style>
  <w:style w:type="paragraph" w:styleId="Zvr">
    <w:name w:val="Closing"/>
    <w:basedOn w:val="Normln"/>
    <w:link w:val="ZvrChar"/>
    <w:rsid w:val="00830024"/>
    <w:pPr>
      <w:autoSpaceDE/>
      <w:autoSpaceDN/>
      <w:adjustRightInd/>
      <w:spacing w:line="240" w:lineRule="auto"/>
      <w:ind w:left="4252"/>
      <w:textAlignment w:val="auto"/>
    </w:pPr>
    <w:rPr>
      <w:rFonts w:ascii="MS Serif" w:eastAsia="Times New Roman" w:hAnsi="MS Serif" w:cs="Times New Roman"/>
      <w:noProof/>
      <w:color w:val="auto"/>
      <w:lang w:eastAsia="cs-CZ"/>
      <w14:shadow w14:blurRad="50800" w14:dist="38100" w14:dir="2700000" w14:sx="100000" w14:sy="100000" w14:kx="0" w14:ky="0" w14:algn="tl">
        <w14:srgbClr w14:val="000000">
          <w14:alpha w14:val="60000"/>
        </w14:srgbClr>
      </w14:shadow>
    </w:rPr>
  </w:style>
  <w:style w:type="character" w:customStyle="1" w:styleId="ZvrChar">
    <w:name w:val="Závěr Char"/>
    <w:basedOn w:val="Standardnpsmoodstavce"/>
    <w:link w:val="Zvr"/>
    <w:rsid w:val="00830024"/>
    <w:rPr>
      <w:rFonts w:ascii="MS Serif" w:eastAsia="Times New Roman" w:hAnsi="MS Serif" w:cs="Times New Roman"/>
      <w:noProof/>
      <w:sz w:val="20"/>
      <w:szCs w:val="20"/>
      <w:lang w:eastAsia="cs-CZ"/>
      <w14:shadow w14:blurRad="50800" w14:dist="38100" w14:dir="2700000" w14:sx="100000" w14:sy="100000" w14:kx="0" w14:ky="0" w14:algn="tl">
        <w14:srgbClr w14:val="000000">
          <w14:alpha w14:val="60000"/>
        </w14:srgbClr>
      </w14:shadow>
    </w:rPr>
  </w:style>
  <w:style w:type="paragraph" w:styleId="Zptenadresanaoblku">
    <w:name w:val="envelope return"/>
    <w:basedOn w:val="Normln"/>
    <w:rsid w:val="00830024"/>
    <w:pPr>
      <w:autoSpaceDE/>
      <w:autoSpaceDN/>
      <w:adjustRightInd/>
      <w:spacing w:line="240" w:lineRule="auto"/>
      <w:textAlignment w:val="auto"/>
    </w:pPr>
    <w:rPr>
      <w:rFonts w:ascii="Arial" w:eastAsia="Times New Roman" w:hAnsi="Arial" w:cs="Arial"/>
      <w:noProof/>
      <w:color w:val="auto"/>
      <w:lang w:eastAsia="cs-CZ"/>
      <w14:shadow w14:blurRad="50800" w14:dist="38100" w14:dir="2700000" w14:sx="100000" w14:sy="100000" w14:kx="0" w14:ky="0" w14:algn="tl">
        <w14:srgbClr w14:val="000000">
          <w14:alpha w14:val="60000"/>
        </w14:srgbClr>
      </w14:shadow>
    </w:rPr>
  </w:style>
  <w:style w:type="paragraph" w:customStyle="1" w:styleId="Default">
    <w:name w:val="Default"/>
    <w:rsid w:val="00830024"/>
    <w:pPr>
      <w:autoSpaceDE w:val="0"/>
      <w:autoSpaceDN w:val="0"/>
      <w:adjustRightInd w:val="0"/>
      <w:spacing w:after="0" w:line="240" w:lineRule="auto"/>
    </w:pPr>
    <w:rPr>
      <w:rFonts w:ascii="Book Antiqua" w:eastAsia="Times New Roman" w:hAnsi="Book Antiqua" w:cs="Book Antiqua"/>
      <w:color w:val="000000"/>
      <w:sz w:val="24"/>
      <w:szCs w:val="24"/>
      <w:lang w:eastAsia="cs-CZ"/>
    </w:rPr>
  </w:style>
  <w:style w:type="paragraph" w:customStyle="1" w:styleId="Pa8">
    <w:name w:val="Pa8"/>
    <w:basedOn w:val="Normln"/>
    <w:next w:val="Normln"/>
    <w:rsid w:val="00830024"/>
    <w:pPr>
      <w:spacing w:before="100" w:line="211" w:lineRule="atLeast"/>
      <w:textAlignment w:val="auto"/>
    </w:pPr>
    <w:rPr>
      <w:rFonts w:ascii="Adobe Garamond Pro" w:eastAsia="Times New Roman" w:hAnsi="Adobe Garamond Pro" w:cs="Times New Roman"/>
      <w:color w:val="auto"/>
      <w:sz w:val="24"/>
      <w:szCs w:val="24"/>
      <w:lang w:eastAsia="cs-CZ"/>
    </w:rPr>
  </w:style>
  <w:style w:type="character" w:customStyle="1" w:styleId="PedmtkomenteChar">
    <w:name w:val="Předmět komentáře Char"/>
    <w:basedOn w:val="TextkomenteChar"/>
    <w:link w:val="Pedmtkomente"/>
    <w:semiHidden/>
    <w:rsid w:val="00830024"/>
    <w:rPr>
      <w:rFonts w:ascii="MS Serif" w:eastAsia="Times New Roman" w:hAnsi="MS Serif" w:cs="Times New Roman"/>
      <w:b/>
      <w:bCs/>
      <w:noProof/>
      <w:sz w:val="20"/>
      <w:szCs w:val="20"/>
      <w:lang w:eastAsia="cs-CZ"/>
      <w14:shadow w14:blurRad="50800" w14:dist="38100" w14:dir="2700000" w14:sx="100000" w14:sy="100000" w14:kx="0" w14:ky="0" w14:algn="tl">
        <w14:srgbClr w14:val="000000">
          <w14:alpha w14:val="60000"/>
        </w14:srgbClr>
      </w14:shadow>
    </w:rPr>
  </w:style>
  <w:style w:type="paragraph" w:styleId="Pedmtkomente">
    <w:name w:val="annotation subject"/>
    <w:basedOn w:val="Textkomente"/>
    <w:next w:val="Textkomente"/>
    <w:link w:val="PedmtkomenteChar"/>
    <w:semiHidden/>
    <w:rsid w:val="00830024"/>
    <w:rPr>
      <w:b/>
      <w:bCs/>
    </w:rPr>
  </w:style>
  <w:style w:type="character" w:customStyle="1" w:styleId="TextbublinyChar">
    <w:name w:val="Text bubliny Char"/>
    <w:basedOn w:val="Standardnpsmoodstavce"/>
    <w:link w:val="Textbubliny"/>
    <w:semiHidden/>
    <w:rsid w:val="00830024"/>
    <w:rPr>
      <w:rFonts w:ascii="Tahoma" w:eastAsia="Times New Roman" w:hAnsi="Tahoma" w:cs="Tahoma"/>
      <w:noProof/>
      <w:sz w:val="16"/>
      <w:szCs w:val="16"/>
      <w:lang w:eastAsia="cs-CZ"/>
      <w14:shadow w14:blurRad="50800" w14:dist="38100" w14:dir="2700000" w14:sx="100000" w14:sy="100000" w14:kx="0" w14:ky="0" w14:algn="tl">
        <w14:srgbClr w14:val="000000">
          <w14:alpha w14:val="60000"/>
        </w14:srgbClr>
      </w14:shadow>
    </w:rPr>
  </w:style>
  <w:style w:type="paragraph" w:styleId="Textbubliny">
    <w:name w:val="Balloon Text"/>
    <w:basedOn w:val="Normln"/>
    <w:link w:val="TextbublinyChar"/>
    <w:semiHidden/>
    <w:rsid w:val="00830024"/>
    <w:pPr>
      <w:autoSpaceDE/>
      <w:autoSpaceDN/>
      <w:adjustRightInd/>
      <w:spacing w:line="240" w:lineRule="auto"/>
      <w:textAlignment w:val="auto"/>
    </w:pPr>
    <w:rPr>
      <w:rFonts w:ascii="Tahoma" w:eastAsia="Times New Roman" w:hAnsi="Tahoma" w:cs="Tahoma"/>
      <w:noProof/>
      <w:color w:val="auto"/>
      <w:sz w:val="16"/>
      <w:szCs w:val="16"/>
      <w:lang w:eastAsia="cs-CZ"/>
      <w14:shadow w14:blurRad="50800" w14:dist="38100" w14:dir="2700000" w14:sx="100000" w14:sy="100000" w14:kx="0" w14:ky="0" w14:algn="tl">
        <w14:srgbClr w14:val="000000">
          <w14:alpha w14:val="60000"/>
        </w14:srgbClr>
      </w14:shadow>
    </w:rPr>
  </w:style>
  <w:style w:type="paragraph" w:customStyle="1" w:styleId="Normlnodsazen1">
    <w:name w:val="Normální odsazený1"/>
    <w:basedOn w:val="Normln"/>
    <w:rsid w:val="00830024"/>
    <w:pPr>
      <w:keepLines/>
      <w:suppressAutoHyphens/>
      <w:overflowPunct w:val="0"/>
      <w:autoSpaceDN/>
      <w:adjustRightInd/>
      <w:spacing w:after="120" w:line="240" w:lineRule="auto"/>
      <w:ind w:left="1134"/>
      <w:jc w:val="both"/>
      <w:textAlignment w:val="baseline"/>
    </w:pPr>
    <w:rPr>
      <w:rFonts w:ascii="Times New Roman" w:eastAsia="Times New Roman" w:hAnsi="Times New Roman" w:cs="Times New Roman"/>
      <w:color w:val="auto"/>
      <w:sz w:val="24"/>
      <w:lang w:eastAsia="zh-CN"/>
    </w:rPr>
  </w:style>
  <w:style w:type="character" w:customStyle="1" w:styleId="apple-converted-space">
    <w:name w:val="apple-converted-space"/>
    <w:basedOn w:val="Standardnpsmoodstavce"/>
    <w:rsid w:val="00830024"/>
  </w:style>
  <w:style w:type="paragraph" w:styleId="Odstavecseseznamem">
    <w:name w:val="List Paragraph"/>
    <w:basedOn w:val="Normln"/>
    <w:uiPriority w:val="99"/>
    <w:qFormat/>
    <w:rsid w:val="00830024"/>
    <w:pPr>
      <w:autoSpaceDE/>
      <w:autoSpaceDN/>
      <w:adjustRightInd/>
      <w:spacing w:line="240" w:lineRule="auto"/>
      <w:ind w:left="720"/>
      <w:contextualSpacing/>
      <w:textAlignment w:val="auto"/>
    </w:pPr>
    <w:rPr>
      <w:rFonts w:ascii="MS Serif" w:eastAsia="Times New Roman" w:hAnsi="MS Serif" w:cs="Times New Roman"/>
      <w:noProof/>
      <w:color w:val="auto"/>
      <w:lang w:eastAsia="cs-CZ"/>
      <w14:shadow w14:blurRad="50800" w14:dist="38100" w14:dir="2700000" w14:sx="100000" w14:sy="100000" w14:kx="0" w14:ky="0" w14:algn="tl">
        <w14:srgbClr w14:val="000000">
          <w14:alpha w14:val="60000"/>
        </w14:srgbClr>
      </w14:shadow>
    </w:rPr>
  </w:style>
  <w:style w:type="paragraph" w:styleId="Revize">
    <w:name w:val="Revision"/>
    <w:hidden/>
    <w:uiPriority w:val="99"/>
    <w:semiHidden/>
    <w:rsid w:val="006B5E35"/>
    <w:pPr>
      <w:spacing w:after="0" w:line="240" w:lineRule="auto"/>
    </w:pPr>
    <w:rPr>
      <w:rFonts w:ascii="Mulish" w:hAnsi="Mulish" w:cs="Mulish"/>
      <w:color w:val="000000" w:themeColor="text1"/>
      <w:sz w:val="20"/>
      <w:szCs w:val="20"/>
    </w:rPr>
  </w:style>
  <w:style w:type="character" w:styleId="Odkaznakoment">
    <w:name w:val="annotation reference"/>
    <w:basedOn w:val="Standardnpsmoodstavce"/>
    <w:semiHidden/>
    <w:unhideWhenUsed/>
    <w:rsid w:val="002E3DA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zu.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37DA5-0861-478D-A627-68EF489B8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10890</Words>
  <Characters>64252</Characters>
  <Application>Microsoft Office Word</Application>
  <DocSecurity>0</DocSecurity>
  <Lines>535</Lines>
  <Paragraphs>149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Hovorková</dc:creator>
  <cp:keywords/>
  <dc:description/>
  <cp:lastModifiedBy>bohumil.kotlik</cp:lastModifiedBy>
  <cp:revision>3</cp:revision>
  <cp:lastPrinted>2022-09-21T06:49:00Z</cp:lastPrinted>
  <dcterms:created xsi:type="dcterms:W3CDTF">2023-10-24T12:06:00Z</dcterms:created>
  <dcterms:modified xsi:type="dcterms:W3CDTF">2024-04-26T12:50:00Z</dcterms:modified>
</cp:coreProperties>
</file>